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878746" w14:textId="059CECFD" w:rsidR="00902223" w:rsidRPr="00DF10D1" w:rsidRDefault="00902223" w:rsidP="00703D1E">
      <w:pPr>
        <w:spacing w:before="120"/>
        <w:jc w:val="right"/>
        <w:rPr>
          <w:rFonts w:ascii="Times New Roman" w:hAnsi="Times New Roman"/>
          <w:b/>
          <w:caps/>
          <w:noProof/>
          <w:sz w:val="24"/>
          <w:szCs w:val="24"/>
          <w:lang w:val="bg-BG"/>
        </w:rPr>
      </w:pPr>
      <w:r w:rsidRPr="00DF10D1">
        <w:rPr>
          <w:rFonts w:ascii="Times New Roman" w:hAnsi="Times New Roman"/>
          <w:b/>
          <w:caps/>
          <w:noProof/>
          <w:sz w:val="24"/>
          <w:szCs w:val="24"/>
          <w:lang w:val="bg-BG"/>
        </w:rPr>
        <w:t xml:space="preserve">Приложение </w:t>
      </w:r>
      <w:r w:rsidR="00FB1EAB" w:rsidRPr="00DF10D1">
        <w:rPr>
          <w:rFonts w:ascii="Times New Roman" w:hAnsi="Times New Roman"/>
          <w:b/>
          <w:caps/>
          <w:noProof/>
          <w:sz w:val="24"/>
          <w:szCs w:val="24"/>
          <w:lang w:val="bg-BG"/>
        </w:rPr>
        <w:t>6.4.</w:t>
      </w:r>
    </w:p>
    <w:p w14:paraId="2C5D4679" w14:textId="77777777" w:rsidR="00902223" w:rsidRPr="00DF10D1" w:rsidRDefault="00902223" w:rsidP="00703D1E">
      <w:pPr>
        <w:spacing w:before="120"/>
        <w:jc w:val="right"/>
        <w:rPr>
          <w:rFonts w:ascii="Times New Roman" w:hAnsi="Times New Roman"/>
          <w:b/>
          <w:smallCaps/>
          <w:noProof/>
          <w:sz w:val="24"/>
          <w:szCs w:val="24"/>
          <w:lang w:val="bg-BG"/>
        </w:rPr>
      </w:pPr>
    </w:p>
    <w:p w14:paraId="116552B9" w14:textId="0F5B0FDF" w:rsidR="00462201" w:rsidRPr="00DF10D1" w:rsidRDefault="00A01E19" w:rsidP="00703D1E">
      <w:pPr>
        <w:spacing w:before="120"/>
        <w:jc w:val="both"/>
        <w:rPr>
          <w:rFonts w:ascii="Times New Roman" w:hAnsi="Times New Roman"/>
          <w:b/>
          <w:smallCaps/>
          <w:noProof/>
          <w:sz w:val="24"/>
          <w:szCs w:val="24"/>
          <w:lang w:val="bg-BG"/>
        </w:rPr>
      </w:pPr>
      <w:r w:rsidRPr="00DF10D1">
        <w:rPr>
          <w:rFonts w:ascii="Times New Roman" w:hAnsi="Times New Roman"/>
          <w:b/>
          <w:smallCaps/>
          <w:noProof/>
          <w:sz w:val="24"/>
          <w:szCs w:val="24"/>
          <w:lang w:val="bg-BG"/>
        </w:rPr>
        <w:t xml:space="preserve">УСЛОВИЯ ЗА ГРУПОВО ОСВОБОЖДАВАНЕ НА ИНВЕСТИЦИИ </w:t>
      </w:r>
      <w:r w:rsidR="00D83FFA" w:rsidRPr="00DF10D1">
        <w:rPr>
          <w:rFonts w:ascii="Times New Roman" w:hAnsi="Times New Roman"/>
          <w:b/>
          <w:smallCaps/>
          <w:noProof/>
          <w:sz w:val="24"/>
          <w:szCs w:val="24"/>
          <w:lang w:val="bg-BG"/>
        </w:rPr>
        <w:t xml:space="preserve">СЪГЛАСНО ЧЛЕН </w:t>
      </w:r>
      <w:r w:rsidR="00D74185" w:rsidRPr="00DF10D1">
        <w:rPr>
          <w:rFonts w:ascii="Times New Roman" w:hAnsi="Times New Roman"/>
          <w:b/>
          <w:smallCaps/>
          <w:noProof/>
          <w:sz w:val="24"/>
          <w:szCs w:val="24"/>
          <w:lang w:val="bg-BG"/>
        </w:rPr>
        <w:t>3</w:t>
      </w:r>
      <w:r w:rsidR="001C7EA7" w:rsidRPr="00DF10D1">
        <w:rPr>
          <w:rFonts w:ascii="Times New Roman" w:hAnsi="Times New Roman"/>
          <w:b/>
          <w:smallCaps/>
          <w:noProof/>
          <w:sz w:val="24"/>
          <w:szCs w:val="24"/>
          <w:lang w:val="bg-BG"/>
        </w:rPr>
        <w:t>6</w:t>
      </w:r>
      <w:r w:rsidR="004F4EB7" w:rsidRPr="00DF10D1">
        <w:rPr>
          <w:rFonts w:ascii="Times New Roman" w:hAnsi="Times New Roman"/>
          <w:b/>
          <w:smallCaps/>
          <w:noProof/>
          <w:sz w:val="24"/>
          <w:szCs w:val="24"/>
          <w:lang w:val="bg-BG"/>
        </w:rPr>
        <w:t>А</w:t>
      </w:r>
      <w:r w:rsidR="001C7EA7" w:rsidRPr="00DF10D1">
        <w:rPr>
          <w:rFonts w:ascii="Times New Roman" w:hAnsi="Times New Roman"/>
          <w:b/>
          <w:smallCaps/>
          <w:noProof/>
          <w:sz w:val="24"/>
          <w:szCs w:val="24"/>
          <w:lang w:val="bg-BG"/>
        </w:rPr>
        <w:t xml:space="preserve"> „ИНВЕСТИЦИОННИ ПОМОЩИ ЗА </w:t>
      </w:r>
      <w:r w:rsidR="00D74185" w:rsidRPr="00DF10D1">
        <w:rPr>
          <w:rFonts w:ascii="Times New Roman" w:hAnsi="Times New Roman"/>
          <w:b/>
          <w:smallCaps/>
          <w:noProof/>
          <w:sz w:val="24"/>
          <w:szCs w:val="24"/>
          <w:lang w:val="bg-BG"/>
        </w:rPr>
        <w:t xml:space="preserve">ИНФРАСТРУКТУРИ ЗА ЗАРЕЖДАНЕ С ЕЛЕКТРОЕНЕРГИЯ ИЛИ ГОРИВО“ </w:t>
      </w:r>
      <w:r w:rsidR="001C7EA7" w:rsidRPr="00DF10D1">
        <w:rPr>
          <w:rFonts w:ascii="Times New Roman" w:hAnsi="Times New Roman"/>
          <w:b/>
          <w:smallCaps/>
          <w:noProof/>
          <w:sz w:val="24"/>
          <w:szCs w:val="24"/>
          <w:lang w:val="bg-BG"/>
        </w:rPr>
        <w:t xml:space="preserve">ОТ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 </w:t>
      </w:r>
      <w:r w:rsidR="00B537B2" w:rsidRPr="00DF10D1">
        <w:rPr>
          <w:rFonts w:ascii="Times New Roman" w:hAnsi="Times New Roman"/>
          <w:b/>
          <w:smallCaps/>
          <w:noProof/>
          <w:sz w:val="24"/>
          <w:szCs w:val="24"/>
          <w:lang w:val="bg-BG"/>
        </w:rPr>
        <w:t>– ОРГО (УСЛОВИЯ)</w:t>
      </w:r>
    </w:p>
    <w:p w14:paraId="7723309C" w14:textId="77777777" w:rsidR="002968A6" w:rsidRPr="00DF10D1" w:rsidRDefault="002968A6" w:rsidP="00703D1E">
      <w:pPr>
        <w:spacing w:before="120"/>
        <w:jc w:val="center"/>
        <w:rPr>
          <w:rFonts w:ascii="Times New Roman" w:hAnsi="Times New Roman"/>
          <w:smallCaps/>
          <w:noProof/>
          <w:sz w:val="24"/>
          <w:szCs w:val="24"/>
          <w:lang w:val="bg-BG"/>
        </w:rPr>
      </w:pPr>
    </w:p>
    <w:p w14:paraId="1C0CD3B9" w14:textId="77777777" w:rsidR="0051709E" w:rsidRPr="00DF10D1" w:rsidRDefault="0051709E" w:rsidP="00703D1E">
      <w:pPr>
        <w:pStyle w:val="Heading1"/>
        <w:numPr>
          <w:ilvl w:val="0"/>
          <w:numId w:val="35"/>
        </w:numPr>
        <w:spacing w:before="120"/>
        <w:jc w:val="both"/>
        <w:rPr>
          <w:rStyle w:val="CommentReference"/>
          <w:rFonts w:ascii="Times New Roman" w:hAnsi="Times New Roman" w:cs="Times New Roman"/>
          <w:noProof/>
          <w:color w:val="auto"/>
          <w:sz w:val="24"/>
          <w:szCs w:val="24"/>
          <w:lang w:val="bg-BG"/>
        </w:rPr>
      </w:pPr>
      <w:r w:rsidRPr="00DF10D1">
        <w:rPr>
          <w:rStyle w:val="CommentReference"/>
          <w:rFonts w:ascii="Times New Roman" w:hAnsi="Times New Roman" w:cs="Times New Roman"/>
          <w:noProof/>
          <w:color w:val="auto"/>
          <w:sz w:val="24"/>
          <w:szCs w:val="24"/>
          <w:lang w:val="bg-BG"/>
        </w:rPr>
        <w:t>Въведение</w:t>
      </w:r>
    </w:p>
    <w:p w14:paraId="33232E35" w14:textId="77777777" w:rsidR="00790974" w:rsidRPr="00DF10D1" w:rsidRDefault="0051709E" w:rsidP="00D74185">
      <w:pPr>
        <w:spacing w:before="120"/>
        <w:ind w:firstLine="360"/>
        <w:jc w:val="both"/>
        <w:rPr>
          <w:rFonts w:ascii="Times New Roman" w:hAnsi="Times New Roman"/>
          <w:sz w:val="24"/>
          <w:szCs w:val="24"/>
          <w:lang w:val="bg-BG"/>
        </w:rPr>
      </w:pPr>
      <w:r w:rsidRPr="00DF10D1">
        <w:rPr>
          <w:rStyle w:val="CommentReference"/>
          <w:rFonts w:ascii="Times New Roman" w:hAnsi="Times New Roman"/>
          <w:noProof/>
          <w:sz w:val="24"/>
          <w:szCs w:val="24"/>
          <w:lang w:val="bg-BG"/>
        </w:rPr>
        <w:t>Настоящ</w:t>
      </w:r>
      <w:r w:rsidR="00A01E19" w:rsidRPr="00DF10D1">
        <w:rPr>
          <w:rStyle w:val="CommentReference"/>
          <w:rFonts w:ascii="Times New Roman" w:hAnsi="Times New Roman"/>
          <w:noProof/>
          <w:sz w:val="24"/>
          <w:szCs w:val="24"/>
          <w:lang w:val="bg-BG"/>
        </w:rPr>
        <w:t xml:space="preserve">ите условия </w:t>
      </w:r>
      <w:r w:rsidR="00A1187B" w:rsidRPr="00DF10D1">
        <w:rPr>
          <w:rStyle w:val="CommentReference"/>
          <w:rFonts w:ascii="Times New Roman" w:hAnsi="Times New Roman"/>
          <w:noProof/>
          <w:sz w:val="24"/>
          <w:szCs w:val="24"/>
          <w:lang w:val="bg-BG"/>
        </w:rPr>
        <w:t xml:space="preserve">по ОРГО </w:t>
      </w:r>
      <w:r w:rsidR="00EB440F" w:rsidRPr="00DF10D1">
        <w:rPr>
          <w:rStyle w:val="CommentReference"/>
          <w:rFonts w:ascii="Times New Roman" w:hAnsi="Times New Roman"/>
          <w:noProof/>
          <w:sz w:val="24"/>
          <w:szCs w:val="24"/>
          <w:lang w:val="bg-BG"/>
        </w:rPr>
        <w:t>са</w:t>
      </w:r>
      <w:r w:rsidRPr="00DF10D1">
        <w:rPr>
          <w:rStyle w:val="CommentReference"/>
          <w:rFonts w:ascii="Times New Roman" w:hAnsi="Times New Roman"/>
          <w:noProof/>
          <w:sz w:val="24"/>
          <w:szCs w:val="24"/>
          <w:lang w:val="bg-BG"/>
        </w:rPr>
        <w:t xml:space="preserve"> разработен</w:t>
      </w:r>
      <w:r w:rsidR="00EB440F" w:rsidRPr="00DF10D1">
        <w:rPr>
          <w:rStyle w:val="CommentReference"/>
          <w:rFonts w:ascii="Times New Roman" w:hAnsi="Times New Roman"/>
          <w:noProof/>
          <w:sz w:val="24"/>
          <w:szCs w:val="24"/>
          <w:lang w:val="bg-BG"/>
        </w:rPr>
        <w:t>и</w:t>
      </w:r>
      <w:r w:rsidRPr="00DF10D1">
        <w:rPr>
          <w:rStyle w:val="CommentReference"/>
          <w:rFonts w:ascii="Times New Roman" w:hAnsi="Times New Roman"/>
          <w:noProof/>
          <w:sz w:val="24"/>
          <w:szCs w:val="24"/>
          <w:lang w:val="bg-BG"/>
        </w:rPr>
        <w:t xml:space="preserve"> във връзка с </w:t>
      </w:r>
      <w:r w:rsidR="00374AD7" w:rsidRPr="00DF10D1">
        <w:rPr>
          <w:rFonts w:ascii="Times New Roman" w:hAnsi="Times New Roman"/>
          <w:sz w:val="24"/>
          <w:szCs w:val="24"/>
          <w:lang w:val="bg-BG"/>
        </w:rPr>
        <w:t xml:space="preserve">дейности за </w:t>
      </w:r>
      <w:r w:rsidR="008070E8" w:rsidRPr="00DF10D1">
        <w:rPr>
          <w:rFonts w:ascii="Times New Roman" w:hAnsi="Times New Roman"/>
          <w:sz w:val="24"/>
          <w:szCs w:val="24"/>
          <w:lang w:val="bg-BG"/>
        </w:rPr>
        <w:t>инфраструктура</w:t>
      </w:r>
      <w:r w:rsidR="00D74185" w:rsidRPr="00DF10D1">
        <w:rPr>
          <w:rFonts w:ascii="Times New Roman" w:hAnsi="Times New Roman"/>
          <w:sz w:val="24"/>
          <w:szCs w:val="24"/>
          <w:lang w:val="bg-BG"/>
        </w:rPr>
        <w:t xml:space="preserve"> за зареждане с електроенергия или гориво.</w:t>
      </w:r>
    </w:p>
    <w:p w14:paraId="67B08476" w14:textId="77777777" w:rsidR="00D508A0" w:rsidRPr="00DF10D1" w:rsidRDefault="00617631" w:rsidP="00703D1E">
      <w:pPr>
        <w:spacing w:before="120"/>
        <w:ind w:firstLine="360"/>
        <w:jc w:val="both"/>
        <w:rPr>
          <w:rFonts w:ascii="Times New Roman" w:hAnsi="Times New Roman"/>
          <w:sz w:val="24"/>
          <w:szCs w:val="24"/>
          <w:lang w:val="bg-BG"/>
        </w:rPr>
      </w:pPr>
      <w:r w:rsidRPr="00DF10D1">
        <w:rPr>
          <w:rFonts w:ascii="Times New Roman" w:hAnsi="Times New Roman"/>
          <w:sz w:val="24"/>
          <w:szCs w:val="24"/>
          <w:lang w:val="bg-BG"/>
        </w:rPr>
        <w:t>Настоящият документ има за цел да уточни условията, при които финансирането ще се счита за допустимо и съответстващо на правилата по държавн</w:t>
      </w:r>
      <w:r w:rsidR="006C4296" w:rsidRPr="00DF10D1">
        <w:rPr>
          <w:rFonts w:ascii="Times New Roman" w:hAnsi="Times New Roman"/>
          <w:sz w:val="24"/>
          <w:szCs w:val="24"/>
          <w:lang w:val="bg-BG"/>
        </w:rPr>
        <w:t>ите помощи</w:t>
      </w:r>
      <w:r w:rsidR="00342855" w:rsidRPr="00DF10D1">
        <w:rPr>
          <w:rFonts w:ascii="Times New Roman" w:hAnsi="Times New Roman"/>
          <w:sz w:val="24"/>
          <w:szCs w:val="24"/>
          <w:lang w:val="bg-BG"/>
        </w:rPr>
        <w:t xml:space="preserve">. </w:t>
      </w:r>
      <w:r w:rsidRPr="00DF10D1">
        <w:rPr>
          <w:rFonts w:ascii="Times New Roman" w:hAnsi="Times New Roman"/>
          <w:sz w:val="24"/>
          <w:szCs w:val="24"/>
          <w:lang w:val="bg-BG"/>
        </w:rPr>
        <w:t xml:space="preserve">Изпълнението на тези условия е задължително за </w:t>
      </w:r>
      <w:r w:rsidR="00F24BA7" w:rsidRPr="00DF10D1">
        <w:rPr>
          <w:rFonts w:ascii="Times New Roman" w:hAnsi="Times New Roman"/>
          <w:sz w:val="24"/>
          <w:szCs w:val="24"/>
          <w:lang w:val="bg-BG"/>
        </w:rPr>
        <w:t xml:space="preserve">предложения, предвиждащи </w:t>
      </w:r>
      <w:r w:rsidRPr="00DF10D1">
        <w:rPr>
          <w:rFonts w:ascii="Times New Roman" w:hAnsi="Times New Roman"/>
          <w:sz w:val="24"/>
          <w:szCs w:val="24"/>
          <w:lang w:val="bg-BG"/>
        </w:rPr>
        <w:t>интервенции</w:t>
      </w:r>
      <w:r w:rsidR="00800A5D" w:rsidRPr="00DF10D1">
        <w:rPr>
          <w:rFonts w:ascii="Times New Roman" w:hAnsi="Times New Roman"/>
          <w:sz w:val="24"/>
          <w:szCs w:val="24"/>
          <w:lang w:val="bg-BG"/>
        </w:rPr>
        <w:t xml:space="preserve">, при които се прилага чл. </w:t>
      </w:r>
      <w:r w:rsidR="00D74185" w:rsidRPr="00DF10D1">
        <w:rPr>
          <w:rFonts w:ascii="Times New Roman" w:hAnsi="Times New Roman"/>
          <w:sz w:val="24"/>
          <w:szCs w:val="24"/>
          <w:lang w:val="bg-BG"/>
        </w:rPr>
        <w:t>36а</w:t>
      </w:r>
      <w:r w:rsidR="00D508A0" w:rsidRPr="00DF10D1">
        <w:rPr>
          <w:rFonts w:ascii="Times New Roman" w:hAnsi="Times New Roman"/>
          <w:sz w:val="24"/>
          <w:szCs w:val="24"/>
          <w:lang w:val="bg-BG"/>
        </w:rPr>
        <w:t xml:space="preserve"> „</w:t>
      </w:r>
      <w:r w:rsidR="008070E8" w:rsidRPr="00DF10D1">
        <w:rPr>
          <w:rFonts w:ascii="Times New Roman" w:hAnsi="Times New Roman"/>
          <w:sz w:val="24"/>
          <w:szCs w:val="24"/>
          <w:lang w:val="bg-BG"/>
        </w:rPr>
        <w:t xml:space="preserve">ИНВЕСТИЦИОННИ ПОМОЩИ </w:t>
      </w:r>
      <w:r w:rsidR="00D74185" w:rsidRPr="00DF10D1">
        <w:rPr>
          <w:rFonts w:ascii="Times New Roman" w:hAnsi="Times New Roman"/>
          <w:sz w:val="24"/>
          <w:szCs w:val="24"/>
          <w:lang w:val="bg-BG"/>
        </w:rPr>
        <w:t>ЗА ЗАРЕЖДАНЕ С ЕЛЕКТРОЕНЕРГИЯ ИЛИ ГОРИВО</w:t>
      </w:r>
      <w:r w:rsidR="008070E8" w:rsidRPr="00DF10D1">
        <w:rPr>
          <w:rFonts w:ascii="Times New Roman" w:hAnsi="Times New Roman"/>
          <w:sz w:val="24"/>
          <w:szCs w:val="24"/>
          <w:lang w:val="bg-BG"/>
        </w:rPr>
        <w:t>“</w:t>
      </w:r>
      <w:r w:rsidR="00D508A0" w:rsidRPr="00DF10D1">
        <w:rPr>
          <w:rFonts w:ascii="Times New Roman" w:hAnsi="Times New Roman"/>
          <w:sz w:val="24"/>
          <w:szCs w:val="24"/>
          <w:lang w:val="bg-BG"/>
        </w:rPr>
        <w:t xml:space="preserve"> на Регламент (ЕС) № 651/2014 за обявяване на някои категории помощи за съвместими с вътрешния пазар в приложение на членове 107 и 108 от Договора.</w:t>
      </w:r>
    </w:p>
    <w:p w14:paraId="79D6A191" w14:textId="5EFA7012" w:rsidR="00D508A0" w:rsidRPr="00DF10D1" w:rsidRDefault="008070E8" w:rsidP="00703D1E">
      <w:pPr>
        <w:spacing w:before="120"/>
        <w:ind w:firstLine="360"/>
        <w:jc w:val="both"/>
        <w:rPr>
          <w:rFonts w:ascii="Times New Roman" w:hAnsi="Times New Roman"/>
          <w:sz w:val="24"/>
          <w:szCs w:val="24"/>
          <w:lang w:val="bg-BG"/>
        </w:rPr>
      </w:pPr>
      <w:r w:rsidRPr="00DF10D1">
        <w:rPr>
          <w:rFonts w:ascii="Times New Roman" w:hAnsi="Times New Roman"/>
          <w:sz w:val="24"/>
          <w:szCs w:val="24"/>
          <w:lang w:val="bg-BG"/>
        </w:rPr>
        <w:t>С</w:t>
      </w:r>
      <w:r w:rsidR="00800A5D" w:rsidRPr="00DF10D1">
        <w:rPr>
          <w:rFonts w:ascii="Times New Roman" w:hAnsi="Times New Roman"/>
          <w:sz w:val="24"/>
          <w:szCs w:val="24"/>
          <w:lang w:val="bg-BG"/>
        </w:rPr>
        <w:t xml:space="preserve">редства </w:t>
      </w:r>
      <w:r w:rsidRPr="00DF10D1">
        <w:rPr>
          <w:rFonts w:ascii="Times New Roman" w:hAnsi="Times New Roman"/>
          <w:sz w:val="24"/>
          <w:szCs w:val="24"/>
          <w:lang w:val="bg-BG"/>
        </w:rPr>
        <w:t xml:space="preserve">по настоящото приложение </w:t>
      </w:r>
      <w:r w:rsidR="0001446D" w:rsidRPr="00DF10D1">
        <w:rPr>
          <w:rFonts w:ascii="Times New Roman" w:hAnsi="Times New Roman"/>
          <w:sz w:val="24"/>
          <w:szCs w:val="24"/>
          <w:lang w:val="bg-BG"/>
        </w:rPr>
        <w:t>се отпуска</w:t>
      </w:r>
      <w:r w:rsidR="00790974" w:rsidRPr="00DF10D1">
        <w:rPr>
          <w:rFonts w:ascii="Times New Roman" w:hAnsi="Times New Roman"/>
          <w:sz w:val="24"/>
          <w:szCs w:val="24"/>
          <w:lang w:val="bg-BG"/>
        </w:rPr>
        <w:t>т</w:t>
      </w:r>
      <w:r w:rsidR="0001446D" w:rsidRPr="00DF10D1">
        <w:rPr>
          <w:rFonts w:ascii="Times New Roman" w:hAnsi="Times New Roman"/>
          <w:sz w:val="24"/>
          <w:szCs w:val="24"/>
          <w:lang w:val="bg-BG"/>
        </w:rPr>
        <w:t xml:space="preserve"> </w:t>
      </w:r>
      <w:r w:rsidR="0074170E" w:rsidRPr="00DF10D1">
        <w:rPr>
          <w:rFonts w:ascii="Times New Roman" w:hAnsi="Times New Roman"/>
          <w:sz w:val="24"/>
          <w:szCs w:val="24"/>
          <w:lang w:val="bg-BG"/>
        </w:rPr>
        <w:t>като</w:t>
      </w:r>
      <w:r w:rsidR="0001446D" w:rsidRPr="00DF10D1">
        <w:rPr>
          <w:rFonts w:ascii="Times New Roman" w:hAnsi="Times New Roman"/>
          <w:sz w:val="24"/>
          <w:szCs w:val="24"/>
          <w:lang w:val="bg-BG"/>
        </w:rPr>
        <w:t xml:space="preserve"> </w:t>
      </w:r>
      <w:r w:rsidRPr="00DF10D1">
        <w:rPr>
          <w:rFonts w:ascii="Times New Roman" w:hAnsi="Times New Roman"/>
          <w:sz w:val="24"/>
          <w:szCs w:val="24"/>
          <w:lang w:val="bg-BG"/>
        </w:rPr>
        <w:t>държавна помощ в режим „</w:t>
      </w:r>
      <w:r w:rsidR="00031E3D" w:rsidRPr="00DF10D1">
        <w:rPr>
          <w:rFonts w:ascii="Times New Roman" w:hAnsi="Times New Roman"/>
          <w:sz w:val="24"/>
          <w:szCs w:val="24"/>
          <w:lang w:val="bg-BG"/>
        </w:rPr>
        <w:t xml:space="preserve">Инвестиционни помощи за </w:t>
      </w:r>
      <w:r w:rsidR="00D74185" w:rsidRPr="00DF10D1">
        <w:rPr>
          <w:rFonts w:ascii="Times New Roman" w:hAnsi="Times New Roman"/>
          <w:sz w:val="24"/>
          <w:szCs w:val="24"/>
          <w:lang w:val="bg-BG"/>
        </w:rPr>
        <w:t>зареждане с електроенергия или гориво</w:t>
      </w:r>
      <w:r w:rsidRPr="00DF10D1">
        <w:rPr>
          <w:rFonts w:ascii="Times New Roman" w:hAnsi="Times New Roman"/>
          <w:sz w:val="24"/>
          <w:szCs w:val="24"/>
          <w:lang w:val="bg-BG"/>
        </w:rPr>
        <w:t xml:space="preserve">“ </w:t>
      </w:r>
      <w:r w:rsidR="0001446D" w:rsidRPr="00DF10D1">
        <w:rPr>
          <w:rFonts w:ascii="Times New Roman" w:hAnsi="Times New Roman"/>
          <w:sz w:val="24"/>
          <w:szCs w:val="24"/>
          <w:lang w:val="bg-BG"/>
        </w:rPr>
        <w:t xml:space="preserve">в съответствие с чл. </w:t>
      </w:r>
      <w:r w:rsidR="00D74185" w:rsidRPr="00DF10D1">
        <w:rPr>
          <w:rFonts w:ascii="Times New Roman" w:hAnsi="Times New Roman"/>
          <w:sz w:val="24"/>
          <w:szCs w:val="24"/>
          <w:lang w:val="bg-BG"/>
        </w:rPr>
        <w:t>3</w:t>
      </w:r>
      <w:r w:rsidRPr="00DF10D1">
        <w:rPr>
          <w:rFonts w:ascii="Times New Roman" w:hAnsi="Times New Roman"/>
          <w:sz w:val="24"/>
          <w:szCs w:val="24"/>
          <w:lang w:val="bg-BG"/>
        </w:rPr>
        <w:t>6</w:t>
      </w:r>
      <w:r w:rsidR="00D74185" w:rsidRPr="00DF10D1">
        <w:rPr>
          <w:rFonts w:ascii="Times New Roman" w:hAnsi="Times New Roman"/>
          <w:sz w:val="24"/>
          <w:szCs w:val="24"/>
          <w:lang w:val="bg-BG"/>
        </w:rPr>
        <w:t>а</w:t>
      </w:r>
      <w:r w:rsidRPr="00DF10D1">
        <w:rPr>
          <w:rFonts w:ascii="Times New Roman" w:hAnsi="Times New Roman"/>
          <w:sz w:val="24"/>
          <w:szCs w:val="24"/>
          <w:lang w:val="bg-BG"/>
        </w:rPr>
        <w:t xml:space="preserve"> </w:t>
      </w:r>
      <w:r w:rsidR="00D508A0" w:rsidRPr="00DF10D1">
        <w:rPr>
          <w:rFonts w:ascii="Times New Roman" w:hAnsi="Times New Roman"/>
          <w:sz w:val="24"/>
          <w:szCs w:val="24"/>
          <w:lang w:val="bg-BG"/>
        </w:rPr>
        <w:t>на Регламент (ЕС) № 651/2014 за обявяване на някои категории помощи за съвместими с вътрешния пазар в приложение н</w:t>
      </w:r>
      <w:r w:rsidRPr="00DF10D1">
        <w:rPr>
          <w:rFonts w:ascii="Times New Roman" w:hAnsi="Times New Roman"/>
          <w:sz w:val="24"/>
          <w:szCs w:val="24"/>
          <w:lang w:val="bg-BG"/>
        </w:rPr>
        <w:t>а членове 107 и 108 от Договора.</w:t>
      </w:r>
    </w:p>
    <w:p w14:paraId="48AA569A" w14:textId="03673077" w:rsidR="009B1AFF" w:rsidRPr="00DF10D1" w:rsidRDefault="009B1AFF" w:rsidP="00703D1E">
      <w:pPr>
        <w:spacing w:before="120"/>
        <w:ind w:firstLine="360"/>
        <w:jc w:val="both"/>
        <w:rPr>
          <w:rFonts w:ascii="Times New Roman" w:hAnsi="Times New Roman"/>
          <w:sz w:val="24"/>
          <w:szCs w:val="24"/>
          <w:lang w:val="bg-BG"/>
        </w:rPr>
      </w:pPr>
    </w:p>
    <w:p w14:paraId="4475B9D3" w14:textId="3D24116E" w:rsidR="009B1AFF" w:rsidRPr="00DF10D1" w:rsidRDefault="009B1AFF" w:rsidP="009B1AFF">
      <w:pPr>
        <w:spacing w:before="120"/>
        <w:ind w:firstLine="360"/>
        <w:jc w:val="both"/>
        <w:rPr>
          <w:rFonts w:ascii="Times New Roman" w:hAnsi="Times New Roman"/>
          <w:sz w:val="24"/>
          <w:szCs w:val="24"/>
          <w:lang w:val="bg-BG"/>
        </w:rPr>
      </w:pPr>
      <w:r w:rsidRPr="00DF10D1">
        <w:rPr>
          <w:rFonts w:ascii="Times New Roman" w:hAnsi="Times New Roman"/>
          <w:sz w:val="24"/>
          <w:szCs w:val="24"/>
          <w:lang w:val="bg-BG"/>
        </w:rPr>
        <w:t xml:space="preserve">Средният годишен бюджет за държавната помощ по чл.36а на Регламент (ЕС) № 651/2014 не следва да надхвърля 150 млн. евро </w:t>
      </w:r>
    </w:p>
    <w:p w14:paraId="7366B73B" w14:textId="77777777" w:rsidR="009B1AFF" w:rsidRPr="00DF10D1" w:rsidRDefault="009B1AFF" w:rsidP="009B1AFF">
      <w:pPr>
        <w:spacing w:before="120"/>
        <w:ind w:firstLine="360"/>
        <w:jc w:val="both"/>
        <w:rPr>
          <w:rFonts w:ascii="Times New Roman" w:hAnsi="Times New Roman"/>
          <w:sz w:val="24"/>
          <w:szCs w:val="24"/>
          <w:lang w:val="bg-BG"/>
        </w:rPr>
      </w:pPr>
    </w:p>
    <w:p w14:paraId="46903BA2" w14:textId="50679A90" w:rsidR="009B1AFF" w:rsidRPr="00DF10D1" w:rsidRDefault="008A0CA8" w:rsidP="009B1AFF">
      <w:pPr>
        <w:spacing w:before="120"/>
        <w:ind w:firstLine="360"/>
        <w:jc w:val="both"/>
        <w:rPr>
          <w:rFonts w:ascii="Times New Roman" w:hAnsi="Times New Roman"/>
          <w:b/>
          <w:sz w:val="24"/>
          <w:szCs w:val="24"/>
          <w:lang w:val="bg-BG"/>
        </w:rPr>
      </w:pPr>
      <w:r w:rsidRPr="00DF10D1">
        <w:rPr>
          <w:rFonts w:ascii="Times New Roman" w:hAnsi="Times New Roman"/>
          <w:b/>
          <w:sz w:val="24"/>
          <w:szCs w:val="24"/>
          <w:lang w:val="bg-BG"/>
        </w:rPr>
        <w:t>ВАЖНО!!! СПЕЦИФИЧНИТЕ УСЛОВИЯ ЗА ПРЕДОСТАВЯНЕ НА БЕЗВЪЗМЕЗДНА ПОМОЩ ПО РЕДА НА ЧЛ. 36А НА РЕГЛАМЕНТ (ЕС) № 651/2014 СА ОПИСАНИ В РАЗДЕЛ 16.3.3. НА НАСОКИТЕ ЗА КАНДИДАТСТВАНЕ ПО ПРОЦЕДУРАТА, НЕРАЗДЕЛНА ЧАСТ ОТ НАСТОЯЩОТО ПРИЛОЖЕНИЕ!</w:t>
      </w:r>
    </w:p>
    <w:p w14:paraId="28BAED05" w14:textId="77777777" w:rsidR="009B1AFF" w:rsidRPr="00DF10D1" w:rsidRDefault="009B1AFF" w:rsidP="00703D1E">
      <w:pPr>
        <w:spacing w:before="120"/>
        <w:ind w:firstLine="360"/>
        <w:jc w:val="both"/>
        <w:rPr>
          <w:rFonts w:ascii="Times New Roman" w:hAnsi="Times New Roman"/>
          <w:sz w:val="24"/>
          <w:szCs w:val="24"/>
          <w:lang w:val="bg-BG"/>
        </w:rPr>
      </w:pPr>
    </w:p>
    <w:p w14:paraId="3A013DCC" w14:textId="77777777" w:rsidR="00042B58" w:rsidRPr="00DF10D1" w:rsidRDefault="00042B58" w:rsidP="00703D1E">
      <w:pPr>
        <w:pStyle w:val="Heading1"/>
        <w:numPr>
          <w:ilvl w:val="0"/>
          <w:numId w:val="35"/>
        </w:numPr>
        <w:spacing w:before="120"/>
        <w:jc w:val="both"/>
        <w:rPr>
          <w:rStyle w:val="CommentReference"/>
          <w:rFonts w:ascii="Times New Roman" w:hAnsi="Times New Roman" w:cs="Times New Roman"/>
          <w:noProof/>
          <w:color w:val="auto"/>
          <w:sz w:val="24"/>
          <w:szCs w:val="24"/>
          <w:lang w:val="bg-BG"/>
        </w:rPr>
      </w:pPr>
      <w:r w:rsidRPr="00DF10D1">
        <w:rPr>
          <w:rStyle w:val="CommentReference"/>
          <w:rFonts w:ascii="Times New Roman" w:hAnsi="Times New Roman" w:cs="Times New Roman"/>
          <w:noProof/>
          <w:color w:val="auto"/>
          <w:sz w:val="24"/>
          <w:szCs w:val="24"/>
          <w:lang w:val="bg-BG"/>
        </w:rPr>
        <w:t>Изключения от обхвата</w:t>
      </w:r>
    </w:p>
    <w:p w14:paraId="5CAC9A58" w14:textId="77777777" w:rsidR="00265E3A" w:rsidRPr="00DF10D1" w:rsidRDefault="00265E3A" w:rsidP="00265E3A">
      <w:pPr>
        <w:rPr>
          <w:rFonts w:ascii="Times New Roman" w:hAnsi="Times New Roman"/>
          <w:sz w:val="24"/>
          <w:szCs w:val="24"/>
          <w:lang w:val="bg-BG"/>
        </w:rPr>
      </w:pPr>
    </w:p>
    <w:p w14:paraId="64A9F6A3" w14:textId="3E1E581D" w:rsidR="00265E3A" w:rsidRPr="00DF10D1" w:rsidRDefault="00265E3A" w:rsidP="00265E3A">
      <w:pPr>
        <w:spacing w:before="120" w:after="120"/>
        <w:jc w:val="both"/>
        <w:rPr>
          <w:rFonts w:ascii="Times New Roman" w:eastAsia="Calibri" w:hAnsi="Times New Roman"/>
          <w:sz w:val="24"/>
          <w:szCs w:val="24"/>
          <w:u w:val="single"/>
          <w:lang w:val="bg-BG"/>
        </w:rPr>
      </w:pPr>
      <w:r w:rsidRPr="00DF10D1">
        <w:rPr>
          <w:rFonts w:ascii="Times New Roman" w:eastAsia="Calibri" w:hAnsi="Times New Roman"/>
          <w:b/>
          <w:sz w:val="24"/>
          <w:szCs w:val="24"/>
          <w:u w:val="single"/>
          <w:lang w:val="bg-BG"/>
        </w:rPr>
        <w:t>Недопустими кандидати при избран режим помощ „</w:t>
      </w:r>
      <w:r w:rsidR="009B1AFF" w:rsidRPr="00DF10D1">
        <w:rPr>
          <w:rFonts w:ascii="Times New Roman" w:eastAsia="Calibri" w:hAnsi="Times New Roman"/>
          <w:b/>
          <w:sz w:val="24"/>
          <w:szCs w:val="24"/>
          <w:u w:val="single"/>
          <w:lang w:val="bg-BG"/>
        </w:rPr>
        <w:t>ИНВЕСТИЦИОННИ ПОМОЩИ ЗА ЗАРЕЖДАНЕ С ЕЛЕКТРОЕНЕРГИЯ ИЛИ ГОРИВО“</w:t>
      </w:r>
      <w:r w:rsidRPr="00DF10D1">
        <w:rPr>
          <w:rFonts w:ascii="Times New Roman" w:eastAsia="Calibri" w:hAnsi="Times New Roman"/>
          <w:b/>
          <w:sz w:val="24"/>
          <w:szCs w:val="24"/>
          <w:u w:val="single"/>
          <w:lang w:val="bg-BG"/>
        </w:rPr>
        <w:t>:</w:t>
      </w:r>
    </w:p>
    <w:p w14:paraId="6767AECB" w14:textId="77777777" w:rsidR="00265E3A" w:rsidRPr="00DF10D1" w:rsidRDefault="00265E3A" w:rsidP="00265E3A">
      <w:pPr>
        <w:spacing w:before="120" w:after="120"/>
        <w:jc w:val="both"/>
        <w:rPr>
          <w:rFonts w:ascii="Times New Roman" w:eastAsia="Calibri" w:hAnsi="Times New Roman"/>
          <w:sz w:val="24"/>
          <w:szCs w:val="24"/>
          <w:lang w:val="bg-BG"/>
        </w:rPr>
      </w:pPr>
      <w:r w:rsidRPr="00DF10D1">
        <w:rPr>
          <w:rFonts w:ascii="Times New Roman" w:eastAsia="Calibri" w:hAnsi="Times New Roman"/>
          <w:sz w:val="24"/>
          <w:szCs w:val="24"/>
          <w:lang w:val="bg-BG"/>
        </w:rPr>
        <w:t>Кандидатите не могат да участват в процедурата и да получат безвъзмездно финансиране, в случай че попадат в забранителните режими съгласно чл. 1, пар. 3 на Регламент на Комисията (ЕС) № 651/2014 и по-конкретно, ако:</w:t>
      </w:r>
    </w:p>
    <w:p w14:paraId="0FA98AF3" w14:textId="77777777" w:rsidR="00265E3A" w:rsidRPr="00DF10D1" w:rsidRDefault="00265E3A" w:rsidP="00265E3A">
      <w:pPr>
        <w:spacing w:before="120" w:after="120"/>
        <w:jc w:val="both"/>
        <w:rPr>
          <w:rFonts w:ascii="Times New Roman" w:eastAsia="Calibri" w:hAnsi="Times New Roman"/>
          <w:sz w:val="24"/>
          <w:szCs w:val="24"/>
          <w:lang w:val="bg-BG"/>
        </w:rPr>
      </w:pPr>
      <w:r w:rsidRPr="00DF10D1">
        <w:rPr>
          <w:rFonts w:ascii="Times New Roman" w:eastAsia="Calibri" w:hAnsi="Times New Roman"/>
          <w:sz w:val="24"/>
          <w:szCs w:val="24"/>
          <w:lang w:val="bg-BG"/>
        </w:rPr>
        <w:lastRenderedPageBreak/>
        <w:t xml:space="preserve">А) </w:t>
      </w:r>
      <w:r w:rsidR="00B537B2" w:rsidRPr="00DF10D1">
        <w:rPr>
          <w:rFonts w:ascii="Times New Roman" w:eastAsia="Calibri" w:hAnsi="Times New Roman"/>
          <w:sz w:val="24"/>
          <w:szCs w:val="24"/>
          <w:lang w:val="bg-BG"/>
        </w:rPr>
        <w:t>помощта</w:t>
      </w:r>
      <w:r w:rsidRPr="00DF10D1">
        <w:rPr>
          <w:rFonts w:ascii="Times New Roman" w:eastAsia="Calibri" w:hAnsi="Times New Roman"/>
          <w:sz w:val="24"/>
          <w:szCs w:val="24"/>
          <w:lang w:val="bg-BG"/>
        </w:rPr>
        <w:t>, за която кандидатстват, се отнася до:</w:t>
      </w:r>
    </w:p>
    <w:p w14:paraId="764440A6" w14:textId="77777777" w:rsidR="00265E3A" w:rsidRPr="00DF10D1" w:rsidRDefault="00265E3A" w:rsidP="00265E3A">
      <w:pPr>
        <w:spacing w:before="120" w:after="120"/>
        <w:jc w:val="both"/>
        <w:rPr>
          <w:rFonts w:ascii="Times New Roman" w:eastAsia="Calibri" w:hAnsi="Times New Roman"/>
          <w:sz w:val="24"/>
          <w:szCs w:val="24"/>
          <w:lang w:val="bg-BG"/>
        </w:rPr>
      </w:pPr>
      <w:r w:rsidRPr="00DF10D1">
        <w:rPr>
          <w:rFonts w:ascii="Times New Roman" w:eastAsia="Calibri" w:hAnsi="Times New Roman"/>
          <w:sz w:val="24"/>
          <w:szCs w:val="24"/>
          <w:lang w:val="bg-BG"/>
        </w:rPr>
        <w:t xml:space="preserve">• сектора на рибарството и </w:t>
      </w:r>
      <w:proofErr w:type="spellStart"/>
      <w:r w:rsidRPr="00DF10D1">
        <w:rPr>
          <w:rFonts w:ascii="Times New Roman" w:eastAsia="Calibri" w:hAnsi="Times New Roman"/>
          <w:sz w:val="24"/>
          <w:szCs w:val="24"/>
          <w:lang w:val="bg-BG"/>
        </w:rPr>
        <w:t>аквакултурите</w:t>
      </w:r>
      <w:proofErr w:type="spellEnd"/>
      <w:r w:rsidRPr="00DF10D1">
        <w:rPr>
          <w:rFonts w:ascii="Times New Roman" w:eastAsia="Calibri" w:hAnsi="Times New Roman"/>
          <w:sz w:val="24"/>
          <w:szCs w:val="24"/>
          <w:lang w:val="bg-BG"/>
        </w:rPr>
        <w:t>, уредени с Регламент (ЕС) № 1379/2013 (недопустими са предприятия, кандидатстващи за дейност, която съгласно КИД-2008 попада в код на икономическа дейност 03 „Рибно стопанство“, 10.2. „Преработка и консервиране на риба и други водни животни, без готови ястия”);</w:t>
      </w:r>
    </w:p>
    <w:p w14:paraId="33711F3C" w14:textId="77777777" w:rsidR="00265E3A" w:rsidRPr="00DF10D1" w:rsidRDefault="00265E3A" w:rsidP="00265E3A">
      <w:pPr>
        <w:spacing w:before="120" w:after="120"/>
        <w:jc w:val="both"/>
        <w:rPr>
          <w:rFonts w:ascii="Times New Roman" w:eastAsia="Calibri" w:hAnsi="Times New Roman"/>
          <w:sz w:val="24"/>
          <w:szCs w:val="24"/>
          <w:lang w:val="bg-BG"/>
        </w:rPr>
      </w:pPr>
      <w:r w:rsidRPr="00DF10D1">
        <w:rPr>
          <w:rFonts w:ascii="Times New Roman" w:eastAsia="Calibri" w:hAnsi="Times New Roman"/>
          <w:sz w:val="24"/>
          <w:szCs w:val="24"/>
          <w:lang w:val="bg-BG"/>
        </w:rPr>
        <w:t>• сектора на първично производство на селскостопански продукти;</w:t>
      </w:r>
    </w:p>
    <w:p w14:paraId="15C80F40" w14:textId="77777777" w:rsidR="00265E3A" w:rsidRPr="00DF10D1" w:rsidRDefault="00265E3A" w:rsidP="00265E3A">
      <w:pPr>
        <w:spacing w:before="120" w:after="120"/>
        <w:jc w:val="both"/>
        <w:rPr>
          <w:rFonts w:ascii="Times New Roman" w:eastAsia="Calibri" w:hAnsi="Times New Roman"/>
          <w:sz w:val="24"/>
          <w:szCs w:val="24"/>
          <w:lang w:val="bg-BG"/>
        </w:rPr>
      </w:pPr>
      <w:r w:rsidRPr="00DF10D1">
        <w:rPr>
          <w:rFonts w:ascii="Times New Roman" w:eastAsia="Calibri" w:hAnsi="Times New Roman"/>
          <w:sz w:val="24"/>
          <w:szCs w:val="24"/>
          <w:lang w:val="bg-BG"/>
        </w:rPr>
        <w:t>• сектора на преработка и продажба на селскостопански продукти, в следните случаи:</w:t>
      </w:r>
    </w:p>
    <w:p w14:paraId="36FDC48C" w14:textId="77777777" w:rsidR="00265E3A" w:rsidRPr="00DF10D1" w:rsidRDefault="00265E3A" w:rsidP="00265E3A">
      <w:pPr>
        <w:spacing w:before="120" w:after="120"/>
        <w:jc w:val="both"/>
        <w:rPr>
          <w:rFonts w:ascii="Times New Roman" w:eastAsia="Calibri" w:hAnsi="Times New Roman"/>
          <w:sz w:val="24"/>
          <w:szCs w:val="24"/>
          <w:lang w:val="bg-BG"/>
        </w:rPr>
      </w:pPr>
      <w:r w:rsidRPr="00DF10D1">
        <w:rPr>
          <w:rFonts w:ascii="Times New Roman" w:eastAsia="Calibri" w:hAnsi="Times New Roman"/>
          <w:sz w:val="24"/>
          <w:szCs w:val="24"/>
          <w:lang w:val="bg-BG"/>
        </w:rPr>
        <w:t>- когато размерът на помощта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 или</w:t>
      </w:r>
    </w:p>
    <w:p w14:paraId="4069EE79" w14:textId="77777777" w:rsidR="00265E3A" w:rsidRPr="00DF10D1" w:rsidRDefault="00265E3A" w:rsidP="00265E3A">
      <w:pPr>
        <w:spacing w:before="120" w:after="120"/>
        <w:jc w:val="both"/>
        <w:rPr>
          <w:rFonts w:ascii="Times New Roman" w:eastAsia="Calibri" w:hAnsi="Times New Roman"/>
          <w:sz w:val="24"/>
          <w:szCs w:val="24"/>
          <w:lang w:val="bg-BG"/>
        </w:rPr>
      </w:pPr>
      <w:r w:rsidRPr="00DF10D1">
        <w:rPr>
          <w:rFonts w:ascii="Times New Roman" w:eastAsia="Calibri" w:hAnsi="Times New Roman"/>
          <w:sz w:val="24"/>
          <w:szCs w:val="24"/>
          <w:lang w:val="bg-BG"/>
        </w:rPr>
        <w:t>- когато помощта е обвързана със задължението да бъде прехвърлена частично или изцяло на първичните производители;</w:t>
      </w:r>
    </w:p>
    <w:p w14:paraId="3AEE79F7" w14:textId="77777777" w:rsidR="00265E3A" w:rsidRPr="00DF10D1" w:rsidRDefault="00265E3A" w:rsidP="00265E3A">
      <w:pPr>
        <w:spacing w:before="120" w:after="120"/>
        <w:jc w:val="both"/>
        <w:rPr>
          <w:rFonts w:ascii="Times New Roman" w:eastAsia="Calibri" w:hAnsi="Times New Roman"/>
          <w:sz w:val="24"/>
          <w:szCs w:val="24"/>
          <w:lang w:val="bg-BG"/>
        </w:rPr>
      </w:pPr>
      <w:r w:rsidRPr="00DF10D1">
        <w:rPr>
          <w:rFonts w:ascii="Times New Roman" w:eastAsia="Calibri" w:hAnsi="Times New Roman"/>
          <w:sz w:val="24"/>
          <w:szCs w:val="24"/>
          <w:lang w:val="bg-BG"/>
        </w:rPr>
        <w:t>А1) Проектното предложение не съдържа дейности за улесняване на закриването на неконкурентоспособни въглищни мини в съответствие с Решение 2010/787/ЕС на Съвета.</w:t>
      </w:r>
      <w:r w:rsidR="00B537B2" w:rsidRPr="00DF10D1">
        <w:rPr>
          <w:rStyle w:val="FootnoteReference"/>
          <w:rFonts w:ascii="Times New Roman" w:eastAsia="Calibri" w:hAnsi="Times New Roman"/>
          <w:sz w:val="24"/>
          <w:szCs w:val="24"/>
          <w:lang w:val="bg-BG"/>
        </w:rPr>
        <w:footnoteReference w:id="1"/>
      </w:r>
    </w:p>
    <w:p w14:paraId="69C9C2AF" w14:textId="77777777" w:rsidR="00E96DEE" w:rsidRPr="00DF10D1" w:rsidRDefault="00E96DEE" w:rsidP="00265E3A">
      <w:pPr>
        <w:spacing w:before="120" w:after="120"/>
        <w:jc w:val="both"/>
        <w:rPr>
          <w:rFonts w:ascii="Times New Roman" w:eastAsia="Calibri" w:hAnsi="Times New Roman"/>
          <w:sz w:val="24"/>
          <w:szCs w:val="24"/>
          <w:lang w:val="bg-BG"/>
        </w:rPr>
      </w:pPr>
    </w:p>
    <w:p w14:paraId="7C3E9820" w14:textId="77777777" w:rsidR="00E96DEE" w:rsidRPr="00DF10D1" w:rsidRDefault="00E96DEE" w:rsidP="00E96DEE">
      <w:pPr>
        <w:spacing w:before="120" w:after="120"/>
        <w:jc w:val="both"/>
        <w:rPr>
          <w:rFonts w:ascii="Times New Roman" w:eastAsia="Calibri" w:hAnsi="Times New Roman"/>
          <w:sz w:val="24"/>
          <w:szCs w:val="24"/>
          <w:lang w:val="bg-BG"/>
        </w:rPr>
      </w:pPr>
      <w:r w:rsidRPr="00DF10D1">
        <w:rPr>
          <w:rFonts w:ascii="Times New Roman" w:eastAsia="Calibri" w:hAnsi="Times New Roman"/>
          <w:sz w:val="24"/>
          <w:szCs w:val="24"/>
          <w:lang w:val="bg-BG"/>
        </w:rPr>
        <w:t>В тази връзка в случаите когато кандидата упражнява едновременно дейност в изключените сектори, посочени по-горе, финансиране може да се предостави само, ако е налице отделяне на дейностите или разграничаване на разходите, чрез което да се гарантира, че дейностите в изключените сектори не се ползват от помощта, предоставена съгласно настоящите Условия.</w:t>
      </w:r>
    </w:p>
    <w:p w14:paraId="085EFAB1" w14:textId="77777777" w:rsidR="00E96DEE" w:rsidRPr="00DF10D1" w:rsidRDefault="00E96DEE" w:rsidP="00265E3A">
      <w:pPr>
        <w:spacing w:before="120" w:after="120"/>
        <w:jc w:val="both"/>
        <w:rPr>
          <w:rFonts w:ascii="Times New Roman" w:eastAsia="Calibri" w:hAnsi="Times New Roman"/>
          <w:sz w:val="24"/>
          <w:szCs w:val="24"/>
          <w:lang w:val="bg-BG"/>
        </w:rPr>
      </w:pPr>
    </w:p>
    <w:p w14:paraId="3EC3FD8A" w14:textId="77777777" w:rsidR="00265E3A" w:rsidRPr="00DF10D1" w:rsidRDefault="00265E3A" w:rsidP="00265E3A">
      <w:pPr>
        <w:spacing w:before="120" w:after="120"/>
        <w:jc w:val="both"/>
        <w:rPr>
          <w:rFonts w:ascii="Times New Roman" w:eastAsia="Calibri" w:hAnsi="Times New Roman"/>
          <w:sz w:val="24"/>
          <w:szCs w:val="24"/>
          <w:lang w:val="bg-BG"/>
        </w:rPr>
      </w:pPr>
      <w:r w:rsidRPr="00DF10D1">
        <w:rPr>
          <w:rFonts w:ascii="Times New Roman" w:eastAsia="Calibri" w:hAnsi="Times New Roman"/>
          <w:sz w:val="24"/>
          <w:szCs w:val="24"/>
          <w:lang w:val="bg-BG"/>
        </w:rPr>
        <w:t>Б) Са предприятия, които:</w:t>
      </w:r>
    </w:p>
    <w:p w14:paraId="7FE27B88" w14:textId="77777777" w:rsidR="00265E3A" w:rsidRPr="00DF10D1" w:rsidRDefault="00265E3A" w:rsidP="00265E3A">
      <w:pPr>
        <w:spacing w:before="120" w:after="120"/>
        <w:jc w:val="both"/>
        <w:rPr>
          <w:rFonts w:ascii="Times New Roman" w:eastAsia="Calibri" w:hAnsi="Times New Roman"/>
          <w:sz w:val="24"/>
          <w:szCs w:val="24"/>
          <w:lang w:val="bg-BG"/>
        </w:rPr>
      </w:pPr>
      <w:r w:rsidRPr="00DF10D1">
        <w:rPr>
          <w:rFonts w:ascii="Times New Roman" w:eastAsia="Calibri" w:hAnsi="Times New Roman"/>
          <w:sz w:val="24"/>
          <w:szCs w:val="24"/>
          <w:lang w:val="bg-BG"/>
        </w:rPr>
        <w:t>• са обект на неизпълнено разпореждане за възстановяване вследствие на предходно решение на Европейската комисия, с което дадена помощ се обявява за неправомерна и несъвместима с вътрешния пазар ;</w:t>
      </w:r>
    </w:p>
    <w:p w14:paraId="2EAA1FE5" w14:textId="77777777" w:rsidR="00265E3A" w:rsidRPr="00DF10D1" w:rsidRDefault="00265E3A" w:rsidP="00265E3A">
      <w:pPr>
        <w:spacing w:before="120" w:after="120"/>
        <w:jc w:val="both"/>
        <w:rPr>
          <w:rFonts w:ascii="Times New Roman" w:eastAsia="Calibri" w:hAnsi="Times New Roman"/>
          <w:sz w:val="24"/>
          <w:szCs w:val="24"/>
          <w:lang w:val="bg-BG"/>
        </w:rPr>
      </w:pPr>
      <w:r w:rsidRPr="00DF10D1">
        <w:rPr>
          <w:rFonts w:ascii="Times New Roman" w:eastAsia="Calibri" w:hAnsi="Times New Roman"/>
          <w:sz w:val="24"/>
          <w:szCs w:val="24"/>
          <w:lang w:val="bg-BG"/>
        </w:rPr>
        <w:t>• са „предприятия в затруднено положение“ по смисъла на чл. 2, т. 18 от Регламент (ЕС) № 651/2014), по отношение на които е изпълнено поне едно от следните обстоятелства :</w:t>
      </w:r>
    </w:p>
    <w:p w14:paraId="4F966809" w14:textId="77777777" w:rsidR="00265E3A" w:rsidRPr="00DF10D1" w:rsidRDefault="00265E3A" w:rsidP="00265E3A">
      <w:pPr>
        <w:spacing w:before="120" w:after="120"/>
        <w:jc w:val="both"/>
        <w:rPr>
          <w:rFonts w:ascii="Times New Roman" w:eastAsia="Calibri" w:hAnsi="Times New Roman"/>
          <w:sz w:val="24"/>
          <w:szCs w:val="24"/>
          <w:lang w:val="bg-BG"/>
        </w:rPr>
      </w:pPr>
      <w:r w:rsidRPr="00DF10D1">
        <w:rPr>
          <w:rFonts w:ascii="Times New Roman" w:eastAsia="Calibri" w:hAnsi="Times New Roman"/>
          <w:sz w:val="24"/>
          <w:szCs w:val="24"/>
          <w:lang w:val="bg-BG"/>
        </w:rPr>
        <w:t xml:space="preserve">1. В случай на акционерно дружество, дружество с ограничена отговорност, командитно дружество с акции или кооперация или други дружества по Приложение I към Директива 2013/34/ЕС (различно от МСП, което съществува по-малко от три години) и отговаря на условията за инвестиции за рисково финансиране въз основа на извършен от избрания финансов посредник финансов и правен анализ),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надвишава половината от записания акционерен капитал. За целите на настоящата разпоредба под понятието „дружество с ограничена отговорност“ се разбира по-специално видовете дружества, упоменати в </w:t>
      </w:r>
      <w:r w:rsidRPr="00DF10D1">
        <w:rPr>
          <w:rFonts w:ascii="Times New Roman" w:eastAsia="Calibri" w:hAnsi="Times New Roman"/>
          <w:sz w:val="24"/>
          <w:szCs w:val="24"/>
          <w:lang w:val="bg-BG"/>
        </w:rPr>
        <w:lastRenderedPageBreak/>
        <w:t>приложение I към Директива 2013/34/ЕС на Европейския парламент и на Съвета, а „акционерен капитал“ включва, ако е уместно, всякакви премии от емисии.</w:t>
      </w:r>
    </w:p>
    <w:p w14:paraId="582204EC" w14:textId="77777777" w:rsidR="00265E3A" w:rsidRPr="00DF10D1" w:rsidRDefault="00265E3A" w:rsidP="00265E3A">
      <w:pPr>
        <w:spacing w:before="120" w:after="120"/>
        <w:jc w:val="both"/>
        <w:rPr>
          <w:rFonts w:ascii="Times New Roman" w:eastAsia="Calibri" w:hAnsi="Times New Roman"/>
          <w:sz w:val="24"/>
          <w:szCs w:val="24"/>
          <w:lang w:val="bg-BG"/>
        </w:rPr>
      </w:pPr>
      <w:r w:rsidRPr="00DF10D1">
        <w:rPr>
          <w:rFonts w:ascii="Times New Roman" w:eastAsia="Calibri" w:hAnsi="Times New Roman"/>
          <w:sz w:val="24"/>
          <w:szCs w:val="24"/>
          <w:lang w:val="bg-BG"/>
        </w:rPr>
        <w:t>Преценката относно обстоятелството по т. 1 се извършва въз основа на данните за последната приключена финансова година, както следва:</w:t>
      </w:r>
    </w:p>
    <w:p w14:paraId="2C23C1E7" w14:textId="77777777" w:rsidR="00265E3A" w:rsidRPr="00DF10D1" w:rsidRDefault="00265E3A" w:rsidP="00265E3A">
      <w:pPr>
        <w:spacing w:before="120" w:after="120"/>
        <w:jc w:val="both"/>
        <w:rPr>
          <w:rFonts w:ascii="Times New Roman" w:eastAsia="Calibri" w:hAnsi="Times New Roman"/>
          <w:sz w:val="24"/>
          <w:szCs w:val="24"/>
          <w:lang w:val="bg-BG"/>
        </w:rPr>
      </w:pPr>
      <w:r w:rsidRPr="00DF10D1">
        <w:rPr>
          <w:rFonts w:ascii="Times New Roman" w:eastAsia="Calibri" w:hAnsi="Times New Roman"/>
          <w:sz w:val="24"/>
          <w:szCs w:val="24"/>
          <w:lang w:val="bg-BG"/>
        </w:rPr>
        <w:t>Едно предприятие ще бъде считано за “предприятие в затруднено положение“, когато сумата на т. III „Резерв от последващи оценки“, т. IV „Резерви“, т. V „Натрупана печалба (загуба) от минали години“ и т. VI „Текуща печалба (загуба)“ от раздел А „Собствен капитал“ на пасивите, описани в Счетоводния баланс на съответното предприятие е отрицателна стойност, която надвишава 50% от сумата на т. I „Записан капитал“ и т. II „Премии от емисии“ от раздел А „Собствен капитал“ на пасивите, описани в Счетоводния баланс .</w:t>
      </w:r>
    </w:p>
    <w:p w14:paraId="72D29188" w14:textId="77777777" w:rsidR="00265E3A" w:rsidRPr="00DF10D1" w:rsidRDefault="00265E3A" w:rsidP="00265E3A">
      <w:pPr>
        <w:spacing w:before="120" w:after="120"/>
        <w:jc w:val="both"/>
        <w:rPr>
          <w:rFonts w:ascii="Times New Roman" w:eastAsia="Calibri" w:hAnsi="Times New Roman"/>
          <w:sz w:val="24"/>
          <w:szCs w:val="24"/>
          <w:lang w:val="bg-BG"/>
        </w:rPr>
      </w:pPr>
      <w:r w:rsidRPr="00DF10D1">
        <w:rPr>
          <w:rFonts w:ascii="Times New Roman" w:eastAsia="Calibri" w:hAnsi="Times New Roman"/>
          <w:sz w:val="24"/>
          <w:szCs w:val="24"/>
          <w:lang w:val="bg-BG"/>
        </w:rPr>
        <w:t>2. В случай на събирателно дружество или командитно дружество, или други лица по Приложение II към Директива 2013/34/ЕС (което не е МСП, което съществува от по-малко от три години) и на условията за инвестиции за рисково финансиране въз основа на извършен от избрания финансов посредник финансов и правен анализ), когато капиталът, вписан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негови съдружници носят неограничена отговорност за задълженията на дружеството“, се разбира по-специално типовете дружества, посочени в приложение II към Директива 2013/34/ЕС.</w:t>
      </w:r>
    </w:p>
    <w:p w14:paraId="13260DB6" w14:textId="77777777" w:rsidR="00265E3A" w:rsidRPr="00DF10D1" w:rsidRDefault="00265E3A" w:rsidP="00265E3A">
      <w:pPr>
        <w:spacing w:before="120" w:after="120"/>
        <w:jc w:val="both"/>
        <w:rPr>
          <w:rFonts w:ascii="Times New Roman" w:eastAsia="Calibri" w:hAnsi="Times New Roman"/>
          <w:sz w:val="24"/>
          <w:szCs w:val="24"/>
          <w:lang w:val="bg-BG"/>
        </w:rPr>
      </w:pPr>
      <w:r w:rsidRPr="00DF10D1">
        <w:rPr>
          <w:rFonts w:ascii="Times New Roman" w:eastAsia="Calibri" w:hAnsi="Times New Roman"/>
          <w:sz w:val="24"/>
          <w:szCs w:val="24"/>
          <w:lang w:val="bg-BG"/>
        </w:rPr>
        <w:t>3.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14:paraId="35E8C9F9" w14:textId="77777777" w:rsidR="00265E3A" w:rsidRPr="00DF10D1" w:rsidRDefault="00265E3A" w:rsidP="00265E3A">
      <w:pPr>
        <w:spacing w:before="120" w:after="120"/>
        <w:jc w:val="both"/>
        <w:rPr>
          <w:rFonts w:ascii="Times New Roman" w:eastAsia="Calibri" w:hAnsi="Times New Roman"/>
          <w:sz w:val="24"/>
          <w:szCs w:val="24"/>
          <w:lang w:val="bg-BG"/>
        </w:rPr>
      </w:pPr>
      <w:r w:rsidRPr="00DF10D1">
        <w:rPr>
          <w:rFonts w:ascii="Times New Roman" w:eastAsia="Calibri" w:hAnsi="Times New Roman"/>
          <w:sz w:val="24"/>
          <w:szCs w:val="24"/>
          <w:lang w:val="bg-BG"/>
        </w:rPr>
        <w:t>4.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p w14:paraId="3E991A8B" w14:textId="77777777" w:rsidR="00265E3A" w:rsidRPr="00DF10D1" w:rsidRDefault="00265E3A" w:rsidP="00265E3A">
      <w:pPr>
        <w:jc w:val="both"/>
        <w:rPr>
          <w:rFonts w:ascii="Times New Roman" w:eastAsia="Calibri" w:hAnsi="Times New Roman"/>
          <w:sz w:val="24"/>
          <w:szCs w:val="24"/>
          <w:lang w:val="bg-BG"/>
        </w:rPr>
      </w:pPr>
      <w:r w:rsidRPr="00DF10D1">
        <w:rPr>
          <w:rFonts w:ascii="Times New Roman" w:eastAsia="Calibri" w:hAnsi="Times New Roman"/>
          <w:sz w:val="24"/>
          <w:szCs w:val="24"/>
          <w:lang w:val="bg-BG"/>
        </w:rPr>
        <w:t>5. Когато предприятието не е МСП и през последните две години:</w:t>
      </w:r>
    </w:p>
    <w:p w14:paraId="129C0C1C" w14:textId="77777777" w:rsidR="00265E3A" w:rsidRPr="00DF10D1" w:rsidRDefault="00265E3A" w:rsidP="00265E3A">
      <w:pPr>
        <w:numPr>
          <w:ilvl w:val="0"/>
          <w:numId w:val="55"/>
        </w:numPr>
        <w:spacing w:after="160" w:line="259" w:lineRule="auto"/>
        <w:jc w:val="both"/>
        <w:rPr>
          <w:rFonts w:ascii="Times New Roman" w:eastAsia="Calibri" w:hAnsi="Times New Roman"/>
          <w:sz w:val="24"/>
          <w:szCs w:val="24"/>
          <w:lang w:val="bg-BG"/>
        </w:rPr>
      </w:pPr>
      <w:r w:rsidRPr="00DF10D1">
        <w:rPr>
          <w:rFonts w:ascii="Times New Roman" w:eastAsia="Calibri" w:hAnsi="Times New Roman"/>
          <w:sz w:val="24"/>
          <w:szCs w:val="24"/>
          <w:lang w:val="bg-BG"/>
        </w:rPr>
        <w:t>съотношението задължения/собствен капитал на предприятието е било по-голямо от 7,5 и</w:t>
      </w:r>
    </w:p>
    <w:p w14:paraId="078937D6" w14:textId="77777777" w:rsidR="00265E3A" w:rsidRPr="00DF10D1" w:rsidRDefault="00265E3A" w:rsidP="00265E3A">
      <w:pPr>
        <w:numPr>
          <w:ilvl w:val="0"/>
          <w:numId w:val="55"/>
        </w:numPr>
        <w:spacing w:after="160" w:line="259" w:lineRule="auto"/>
        <w:jc w:val="both"/>
        <w:rPr>
          <w:rFonts w:ascii="Times New Roman" w:eastAsia="Calibri" w:hAnsi="Times New Roman"/>
          <w:sz w:val="24"/>
          <w:szCs w:val="24"/>
          <w:lang w:val="bg-BG"/>
        </w:rPr>
      </w:pPr>
      <w:r w:rsidRPr="00DF10D1">
        <w:rPr>
          <w:rFonts w:ascii="Times New Roman" w:eastAsia="Calibri" w:hAnsi="Times New Roman"/>
          <w:sz w:val="24"/>
          <w:szCs w:val="24"/>
          <w:lang w:val="bg-BG"/>
        </w:rPr>
        <w:t>съотношението за лихвено покритие на предприятието, изчислено на основата на EBITDA, е било под 1,0.</w:t>
      </w:r>
    </w:p>
    <w:p w14:paraId="362FBFEB" w14:textId="77777777" w:rsidR="004B08DF" w:rsidRPr="00DF10D1" w:rsidRDefault="004B08DF" w:rsidP="004B08DF">
      <w:pPr>
        <w:spacing w:before="120" w:after="120"/>
        <w:jc w:val="both"/>
        <w:rPr>
          <w:rFonts w:ascii="Times New Roman" w:eastAsia="Calibri" w:hAnsi="Times New Roman"/>
          <w:sz w:val="24"/>
          <w:szCs w:val="24"/>
          <w:lang w:val="bg-BG"/>
        </w:rPr>
      </w:pPr>
    </w:p>
    <w:p w14:paraId="60E27688" w14:textId="77777777" w:rsidR="004B08DF" w:rsidRPr="00DF10D1" w:rsidRDefault="004B08DF" w:rsidP="004B08DF">
      <w:pPr>
        <w:spacing w:before="120" w:after="120"/>
        <w:jc w:val="both"/>
        <w:rPr>
          <w:rFonts w:ascii="Times New Roman" w:eastAsia="Calibri" w:hAnsi="Times New Roman"/>
          <w:sz w:val="24"/>
          <w:szCs w:val="24"/>
          <w:lang w:val="bg-BG"/>
        </w:rPr>
      </w:pPr>
      <w:r w:rsidRPr="00DF10D1">
        <w:rPr>
          <w:rFonts w:ascii="Times New Roman" w:eastAsia="Calibri" w:hAnsi="Times New Roman"/>
          <w:sz w:val="24"/>
          <w:szCs w:val="24"/>
          <w:lang w:val="bg-BG"/>
        </w:rPr>
        <w:t xml:space="preserve">Съотношението задължения/собствен капитал се изчислява по следната формула: От пасива на Счетоводния баланс за съответната година: [(Раздел В „Задължения“, ред с код 07100 „Облигационни заеми“ плюс ред с код 07200 „Задължения към финансови предприятия“) делено на Раздел А „Общо за раздел А“ , код на реда 05000]. </w:t>
      </w:r>
    </w:p>
    <w:p w14:paraId="6AEA2947" w14:textId="77777777" w:rsidR="004B08DF" w:rsidRPr="00DF10D1" w:rsidRDefault="004B08DF" w:rsidP="004B08DF">
      <w:pPr>
        <w:spacing w:before="120" w:after="120"/>
        <w:jc w:val="both"/>
        <w:rPr>
          <w:rFonts w:ascii="Times New Roman" w:eastAsia="Calibri" w:hAnsi="Times New Roman"/>
          <w:sz w:val="24"/>
          <w:szCs w:val="24"/>
          <w:lang w:val="bg-BG"/>
        </w:rPr>
      </w:pPr>
      <w:r w:rsidRPr="00DF10D1">
        <w:rPr>
          <w:rFonts w:ascii="Times New Roman" w:eastAsia="Calibri" w:hAnsi="Times New Roman"/>
          <w:sz w:val="24"/>
          <w:szCs w:val="24"/>
          <w:lang w:val="bg-BG"/>
        </w:rPr>
        <w:t>Съотношението за лихвено покритие на предприятието, изчислено на основата на EBITDA се определя по следната формула: [(Раздел Б „Приходи“ на Отчета за приходите и разходите за съответната година, ред с код 15000 „Общо за група I“ минус Раздел А „Разходи“ на ОПР, ред с код 10000 „Общо за група I“ плюс ред с код 10410 „Разходи за амортизация и обезценка на дълготрайни материални и нематериални активи“) делено на Раздел А „Разходи“ на ОПР, ред с код 11200„Разходи за лихви и други финансови разходи“].</w:t>
      </w:r>
    </w:p>
    <w:p w14:paraId="343E7BE2" w14:textId="77777777" w:rsidR="004B08DF" w:rsidRPr="00DF10D1" w:rsidRDefault="004B08DF" w:rsidP="004B08DF">
      <w:pPr>
        <w:spacing w:after="160" w:line="259" w:lineRule="auto"/>
        <w:ind w:left="720"/>
        <w:jc w:val="both"/>
        <w:rPr>
          <w:rFonts w:ascii="Times New Roman" w:eastAsia="Calibri" w:hAnsi="Times New Roman"/>
          <w:sz w:val="24"/>
          <w:szCs w:val="24"/>
          <w:lang w:val="bg-BG"/>
        </w:rPr>
      </w:pPr>
    </w:p>
    <w:p w14:paraId="5C2366F0" w14:textId="77777777" w:rsidR="00265E3A" w:rsidRPr="00DF10D1" w:rsidRDefault="00265E3A" w:rsidP="00265E3A">
      <w:pPr>
        <w:spacing w:before="120" w:after="120"/>
        <w:jc w:val="both"/>
        <w:rPr>
          <w:rFonts w:ascii="Times New Roman" w:eastAsia="Calibri" w:hAnsi="Times New Roman"/>
          <w:sz w:val="24"/>
          <w:szCs w:val="24"/>
          <w:lang w:val="bg-BG"/>
        </w:rPr>
      </w:pPr>
      <w:r w:rsidRPr="00DF10D1">
        <w:rPr>
          <w:rFonts w:ascii="Times New Roman" w:eastAsia="Calibri" w:hAnsi="Times New Roman"/>
          <w:sz w:val="24"/>
          <w:szCs w:val="24"/>
          <w:lang w:val="bg-BG"/>
        </w:rPr>
        <w:t>Изискванията по т. Б) се прилагат и на равнище група – както за предприятието-кандидат, така и за предприятията, с които кандидатът формира група предприятия (разгледани в цялост). Преди сключване на договор за финансиране се извършва проверка (включително за наличие на „предприятие в затруднено положение“ по смисъла на чл. 2, пар. 18 от Регламент (ЕС) № 651/2014) на кандидата и лицата, с които същите са свързани, формирайки група, въз основа на подадената декларация и чрез извършване на служебна проверка на наличната информация в публичните регистри (вкл. ТР и регистър на ЮЛНЦ). Проверката и определянето на „група“ ще се извършва по отношение на предприятие майка и всички негови дъщерни предприятия, като: "предприятие майка" означава предприятие, което контролира едно или повече дъщерни предприятия и съответно „дъщерно предприятие" означава предприятие, което се контролира от предприятие майка, включително дъщерно предприятие на крайно предприятие майка. Проверката включва преценка във връзка с наличието на икономически субект (кандидат), имащ общ източник на контрол на основание не само представения консолидиран финансов отчет (за група предприятия), но и наличната информация в публичните регистри (вкл. ТР и регистър на ЮЛНЦ), отчитайки възможността общия източник на контрол да се осъществява, както от предприятия, така и от физически лица, участващи в управлението им.</w:t>
      </w:r>
    </w:p>
    <w:p w14:paraId="5530FD39" w14:textId="77777777" w:rsidR="004B08DF" w:rsidRPr="00DF10D1" w:rsidRDefault="004B08DF" w:rsidP="004B08DF">
      <w:pPr>
        <w:jc w:val="both"/>
        <w:rPr>
          <w:rFonts w:ascii="Times New Roman" w:hAnsi="Times New Roman"/>
          <w:sz w:val="24"/>
          <w:szCs w:val="24"/>
          <w:lang w:val="bg-BG"/>
        </w:rPr>
      </w:pPr>
      <w:r w:rsidRPr="00DF10D1">
        <w:rPr>
          <w:rFonts w:ascii="Times New Roman" w:hAnsi="Times New Roman"/>
          <w:sz w:val="24"/>
          <w:szCs w:val="24"/>
          <w:lang w:val="bg-BG"/>
        </w:rPr>
        <w:t>!!!В случай че дадено предприятие е част от група, то показателите за затруднено положение се прилагат на равнище група и преценката по отношение на изискването за затруднено положение се извършва на равнище група. В тази връзка е необходимо консолидираните (в случаите когато всички предприятия от групата са включени в консолидирания финансов отчет) или общите финансови показатели на групата (в случаите, когато не всички предприятия от групата са включени в консолидирания финансов отчет) да се вземат предвид при преценката дали предприятието кандидат/партньор е в затруднение.</w:t>
      </w:r>
    </w:p>
    <w:p w14:paraId="536F4D18" w14:textId="77777777" w:rsidR="004B08DF" w:rsidRPr="00DF10D1" w:rsidRDefault="004B08DF" w:rsidP="004B08DF">
      <w:pPr>
        <w:jc w:val="both"/>
        <w:rPr>
          <w:rFonts w:ascii="Times New Roman" w:hAnsi="Times New Roman"/>
          <w:sz w:val="24"/>
          <w:szCs w:val="24"/>
          <w:lang w:val="bg-BG"/>
        </w:rPr>
      </w:pPr>
    </w:p>
    <w:p w14:paraId="6FED864E" w14:textId="77777777" w:rsidR="00265E3A" w:rsidRPr="00DF10D1" w:rsidRDefault="00265E3A" w:rsidP="00265E3A">
      <w:pPr>
        <w:spacing w:before="120" w:after="120"/>
        <w:jc w:val="both"/>
        <w:rPr>
          <w:rFonts w:ascii="Times New Roman" w:eastAsia="Calibri" w:hAnsi="Times New Roman"/>
          <w:sz w:val="24"/>
          <w:szCs w:val="24"/>
          <w:lang w:val="bg-BG"/>
        </w:rPr>
      </w:pPr>
      <w:r w:rsidRPr="00DF10D1">
        <w:rPr>
          <w:rFonts w:ascii="Times New Roman" w:eastAsia="Calibri" w:hAnsi="Times New Roman"/>
          <w:sz w:val="24"/>
          <w:szCs w:val="24"/>
          <w:lang w:val="bg-BG"/>
        </w:rPr>
        <w:t>В) Финансирането представлява:</w:t>
      </w:r>
    </w:p>
    <w:p w14:paraId="06465075" w14:textId="77777777" w:rsidR="00265E3A" w:rsidRPr="00DF10D1" w:rsidRDefault="00265E3A" w:rsidP="00265E3A">
      <w:pPr>
        <w:spacing w:before="120" w:after="120"/>
        <w:jc w:val="both"/>
        <w:rPr>
          <w:rFonts w:ascii="Times New Roman" w:eastAsia="Calibri" w:hAnsi="Times New Roman"/>
          <w:sz w:val="24"/>
          <w:szCs w:val="24"/>
          <w:lang w:val="bg-BG"/>
        </w:rPr>
      </w:pPr>
      <w:r w:rsidRPr="00DF10D1">
        <w:rPr>
          <w:rFonts w:ascii="Times New Roman" w:eastAsia="Calibri" w:hAnsi="Times New Roman"/>
          <w:sz w:val="24"/>
          <w:szCs w:val="24"/>
          <w:lang w:val="bg-BG"/>
        </w:rPr>
        <w:t>• помощи за дейности, свързани с износ към трети държави или държави членки, по-специално помощи, които са пряко свързани с изнесените количества, с изграждането и функционирането на дистрибуторска мрежа или с други тек</w:t>
      </w:r>
      <w:r w:rsidR="00E96DEE" w:rsidRPr="00DF10D1">
        <w:rPr>
          <w:rFonts w:ascii="Times New Roman" w:eastAsia="Calibri" w:hAnsi="Times New Roman"/>
          <w:sz w:val="24"/>
          <w:szCs w:val="24"/>
          <w:lang w:val="bg-BG"/>
        </w:rPr>
        <w:t>ущи разходи във връзка с износа</w:t>
      </w:r>
      <w:r w:rsidRPr="00DF10D1">
        <w:rPr>
          <w:rFonts w:ascii="Times New Roman" w:eastAsia="Calibri" w:hAnsi="Times New Roman"/>
          <w:sz w:val="24"/>
          <w:szCs w:val="24"/>
          <w:lang w:val="bg-BG"/>
        </w:rPr>
        <w:t>;</w:t>
      </w:r>
    </w:p>
    <w:p w14:paraId="52893E31" w14:textId="547FDFAF" w:rsidR="00265E3A" w:rsidRPr="00DF10D1" w:rsidRDefault="00265E3A" w:rsidP="00265E3A">
      <w:pPr>
        <w:spacing w:before="120" w:after="120"/>
        <w:jc w:val="both"/>
        <w:rPr>
          <w:rFonts w:ascii="Times New Roman" w:eastAsia="Calibri" w:hAnsi="Times New Roman"/>
          <w:sz w:val="24"/>
          <w:szCs w:val="24"/>
          <w:lang w:val="bg-BG"/>
        </w:rPr>
      </w:pPr>
      <w:r w:rsidRPr="00DF10D1">
        <w:rPr>
          <w:rFonts w:ascii="Times New Roman" w:eastAsia="Calibri" w:hAnsi="Times New Roman"/>
          <w:sz w:val="24"/>
          <w:szCs w:val="24"/>
          <w:lang w:val="bg-BG"/>
        </w:rPr>
        <w:t>• помощ, поставена в зависимост от използване на местни (национално произведени стоки и услуги) за сметка на вносни стоки и услуги.</w:t>
      </w:r>
    </w:p>
    <w:p w14:paraId="24B93F22" w14:textId="77777777" w:rsidR="00E44229" w:rsidRPr="00DF10D1" w:rsidRDefault="00E44229" w:rsidP="00E44229">
      <w:pPr>
        <w:spacing w:before="120" w:after="120"/>
        <w:jc w:val="both"/>
        <w:rPr>
          <w:rFonts w:ascii="Times New Roman" w:eastAsia="Calibri" w:hAnsi="Times New Roman"/>
          <w:sz w:val="24"/>
          <w:szCs w:val="24"/>
          <w:lang w:val="bg-BG"/>
        </w:rPr>
      </w:pPr>
      <w:r w:rsidRPr="00DF10D1">
        <w:rPr>
          <w:rFonts w:ascii="Times New Roman" w:eastAsia="Calibri" w:hAnsi="Times New Roman"/>
          <w:sz w:val="24"/>
          <w:szCs w:val="24"/>
          <w:lang w:val="bg-BG"/>
        </w:rPr>
        <w:t xml:space="preserve">•  мерки за помощ, при които предоставянето на помощта е обвързано със задължението седалището или основното място на установяване на бенефициента да се намира в съответната държава членка; въпреки това се разрешава условието към момента на изплащането на помощта </w:t>
      </w:r>
      <w:proofErr w:type="spellStart"/>
      <w:r w:rsidRPr="00DF10D1">
        <w:rPr>
          <w:rFonts w:ascii="Times New Roman" w:eastAsia="Calibri" w:hAnsi="Times New Roman"/>
          <w:sz w:val="24"/>
          <w:szCs w:val="24"/>
          <w:lang w:val="bg-BG"/>
        </w:rPr>
        <w:t>бенефициерът</w:t>
      </w:r>
      <w:proofErr w:type="spellEnd"/>
      <w:r w:rsidRPr="00DF10D1">
        <w:rPr>
          <w:rFonts w:ascii="Times New Roman" w:eastAsia="Calibri" w:hAnsi="Times New Roman"/>
          <w:sz w:val="24"/>
          <w:szCs w:val="24"/>
          <w:lang w:val="bg-BG"/>
        </w:rPr>
        <w:t xml:space="preserve"> да е създал седалище или клон в държавата членка, предоставяща помощта;</w:t>
      </w:r>
    </w:p>
    <w:p w14:paraId="71B7B08C" w14:textId="77777777" w:rsidR="00E44229" w:rsidRPr="00DF10D1" w:rsidRDefault="00E44229" w:rsidP="00E44229">
      <w:pPr>
        <w:spacing w:before="120" w:after="120"/>
        <w:jc w:val="both"/>
        <w:rPr>
          <w:rFonts w:ascii="Times New Roman" w:eastAsia="Calibri" w:hAnsi="Times New Roman"/>
          <w:sz w:val="24"/>
          <w:szCs w:val="24"/>
          <w:lang w:val="bg-BG"/>
        </w:rPr>
      </w:pPr>
      <w:r w:rsidRPr="00DF10D1">
        <w:rPr>
          <w:rFonts w:ascii="Times New Roman" w:eastAsia="Calibri" w:hAnsi="Times New Roman"/>
          <w:sz w:val="24"/>
          <w:szCs w:val="24"/>
          <w:lang w:val="bg-BG"/>
        </w:rPr>
        <w:t xml:space="preserve">• мерки за помощ, при които предоставянето на помощ е обвързано със задължението </w:t>
      </w:r>
      <w:proofErr w:type="spellStart"/>
      <w:r w:rsidRPr="00DF10D1">
        <w:rPr>
          <w:rFonts w:ascii="Times New Roman" w:eastAsia="Calibri" w:hAnsi="Times New Roman"/>
          <w:sz w:val="24"/>
          <w:szCs w:val="24"/>
          <w:lang w:val="bg-BG"/>
        </w:rPr>
        <w:t>бенефициерът</w:t>
      </w:r>
      <w:proofErr w:type="spellEnd"/>
      <w:r w:rsidRPr="00DF10D1">
        <w:rPr>
          <w:rFonts w:ascii="Times New Roman" w:eastAsia="Calibri" w:hAnsi="Times New Roman"/>
          <w:sz w:val="24"/>
          <w:szCs w:val="24"/>
          <w:lang w:val="bg-BG"/>
        </w:rPr>
        <w:t xml:space="preserve"> да използва национално произведени стоки и услуги;</w:t>
      </w:r>
    </w:p>
    <w:p w14:paraId="2EFCE9B7" w14:textId="77777777" w:rsidR="00E44229" w:rsidRPr="00DF10D1" w:rsidRDefault="00E44229" w:rsidP="00E44229">
      <w:pPr>
        <w:spacing w:before="120" w:after="120"/>
        <w:jc w:val="both"/>
        <w:rPr>
          <w:rFonts w:ascii="Times New Roman" w:eastAsia="Calibri" w:hAnsi="Times New Roman"/>
          <w:sz w:val="24"/>
          <w:szCs w:val="24"/>
          <w:lang w:val="bg-BG"/>
        </w:rPr>
      </w:pPr>
      <w:r w:rsidRPr="00DF10D1">
        <w:rPr>
          <w:rFonts w:ascii="Times New Roman" w:eastAsia="Calibri" w:hAnsi="Times New Roman"/>
          <w:sz w:val="24"/>
          <w:szCs w:val="24"/>
          <w:lang w:val="bg-BG"/>
        </w:rPr>
        <w:t xml:space="preserve">• мерки за помощ, които ограничават възможността </w:t>
      </w:r>
      <w:proofErr w:type="spellStart"/>
      <w:r w:rsidRPr="00DF10D1">
        <w:rPr>
          <w:rFonts w:ascii="Times New Roman" w:eastAsia="Calibri" w:hAnsi="Times New Roman"/>
          <w:sz w:val="24"/>
          <w:szCs w:val="24"/>
          <w:lang w:val="bg-BG"/>
        </w:rPr>
        <w:t>бенефициерът</w:t>
      </w:r>
      <w:proofErr w:type="spellEnd"/>
      <w:r w:rsidRPr="00DF10D1">
        <w:rPr>
          <w:rFonts w:ascii="Times New Roman" w:eastAsia="Calibri" w:hAnsi="Times New Roman"/>
          <w:sz w:val="24"/>
          <w:szCs w:val="24"/>
          <w:lang w:val="bg-BG"/>
        </w:rPr>
        <w:t xml:space="preserve"> да се възползва от резултатите от научноизследователска дейност и иновации в други държави членки.</w:t>
      </w:r>
    </w:p>
    <w:p w14:paraId="48B51643" w14:textId="77777777" w:rsidR="00E44229" w:rsidRPr="00DF10D1" w:rsidRDefault="00E44229" w:rsidP="00265E3A">
      <w:pPr>
        <w:spacing w:before="120" w:after="120"/>
        <w:jc w:val="both"/>
        <w:rPr>
          <w:rFonts w:ascii="Times New Roman" w:eastAsia="Calibri" w:hAnsi="Times New Roman"/>
          <w:sz w:val="24"/>
          <w:szCs w:val="24"/>
          <w:lang w:val="bg-BG"/>
        </w:rPr>
      </w:pPr>
    </w:p>
    <w:p w14:paraId="7623C5A6" w14:textId="77777777" w:rsidR="00265E3A" w:rsidRPr="00DF10D1" w:rsidRDefault="00265E3A" w:rsidP="00265E3A">
      <w:pPr>
        <w:spacing w:before="120" w:after="120"/>
        <w:jc w:val="both"/>
        <w:rPr>
          <w:rFonts w:ascii="Times New Roman" w:eastAsia="Calibri" w:hAnsi="Times New Roman"/>
          <w:sz w:val="24"/>
          <w:szCs w:val="24"/>
          <w:lang w:val="bg-BG"/>
        </w:rPr>
      </w:pPr>
      <w:r w:rsidRPr="00DF10D1">
        <w:rPr>
          <w:rFonts w:ascii="Times New Roman" w:eastAsia="Calibri" w:hAnsi="Times New Roman"/>
          <w:b/>
          <w:sz w:val="24"/>
          <w:szCs w:val="24"/>
          <w:lang w:val="bg-BG"/>
        </w:rPr>
        <w:t xml:space="preserve">ВАЖНО: </w:t>
      </w:r>
      <w:r w:rsidRPr="00DF10D1">
        <w:rPr>
          <w:rFonts w:ascii="Times New Roman" w:eastAsia="Calibri" w:hAnsi="Times New Roman"/>
          <w:sz w:val="24"/>
          <w:szCs w:val="24"/>
          <w:lang w:val="bg-BG"/>
        </w:rPr>
        <w:t>Задължително е воденето на отделна/аналитична счетоводна отчетност за инфраструктурата и всяка от дейностите със съответните аналитични счетоводни сметки и партиди, необходими за проследяване на приходите, разходите, активите и пасивите от икономическите и неикономическите дейности на конкретния бенефициент.</w:t>
      </w:r>
    </w:p>
    <w:p w14:paraId="55626811" w14:textId="77777777" w:rsidR="00265E3A" w:rsidRPr="00DF10D1" w:rsidRDefault="00265E3A" w:rsidP="00265E3A">
      <w:pPr>
        <w:spacing w:before="120" w:after="120"/>
        <w:jc w:val="both"/>
        <w:rPr>
          <w:rFonts w:ascii="Times New Roman" w:eastAsia="Calibri" w:hAnsi="Times New Roman"/>
          <w:sz w:val="24"/>
          <w:szCs w:val="24"/>
          <w:lang w:val="bg-BG"/>
        </w:rPr>
      </w:pPr>
      <w:r w:rsidRPr="00DF10D1">
        <w:rPr>
          <w:rFonts w:ascii="Times New Roman" w:eastAsia="Calibri" w:hAnsi="Times New Roman"/>
          <w:b/>
          <w:sz w:val="24"/>
          <w:szCs w:val="24"/>
          <w:lang w:val="bg-BG"/>
        </w:rPr>
        <w:t>ВАЖНО:</w:t>
      </w:r>
      <w:r w:rsidRPr="00DF10D1">
        <w:rPr>
          <w:rFonts w:ascii="Times New Roman" w:eastAsia="Calibri" w:hAnsi="Times New Roman"/>
          <w:sz w:val="24"/>
          <w:szCs w:val="24"/>
          <w:lang w:val="bg-BG"/>
        </w:rPr>
        <w:t xml:space="preserve"> В т. „Финансова информация – кодове по измерения“ на Формуляра за кандидатстване кандидатът избира приложимия режим на помощ.</w:t>
      </w:r>
    </w:p>
    <w:p w14:paraId="3B3F2A45" w14:textId="77777777" w:rsidR="00265E3A" w:rsidRPr="00DF10D1" w:rsidRDefault="00265E3A" w:rsidP="00265E3A">
      <w:pPr>
        <w:rPr>
          <w:rFonts w:ascii="Times New Roman" w:hAnsi="Times New Roman"/>
          <w:sz w:val="24"/>
          <w:szCs w:val="24"/>
          <w:lang w:val="bg-BG"/>
        </w:rPr>
      </w:pPr>
    </w:p>
    <w:p w14:paraId="01456798" w14:textId="77777777" w:rsidR="00265E3A" w:rsidRPr="00DF10D1" w:rsidRDefault="00265E3A" w:rsidP="00265E3A">
      <w:pPr>
        <w:rPr>
          <w:rFonts w:ascii="Times New Roman" w:hAnsi="Times New Roman"/>
          <w:sz w:val="24"/>
          <w:szCs w:val="24"/>
          <w:lang w:val="bg-BG"/>
        </w:rPr>
      </w:pPr>
    </w:p>
    <w:p w14:paraId="5EA3F37B" w14:textId="77777777" w:rsidR="004B1ABC" w:rsidRPr="00DF10D1" w:rsidRDefault="004B1ABC" w:rsidP="00703D1E">
      <w:pPr>
        <w:pStyle w:val="Heading1"/>
        <w:numPr>
          <w:ilvl w:val="0"/>
          <w:numId w:val="35"/>
        </w:numPr>
        <w:spacing w:before="120"/>
        <w:jc w:val="both"/>
        <w:rPr>
          <w:rStyle w:val="CommentReference"/>
          <w:rFonts w:ascii="Times New Roman" w:hAnsi="Times New Roman" w:cs="Times New Roman"/>
          <w:noProof/>
          <w:color w:val="auto"/>
          <w:sz w:val="24"/>
          <w:szCs w:val="24"/>
          <w:lang w:val="bg-BG"/>
        </w:rPr>
      </w:pPr>
      <w:r w:rsidRPr="00DF10D1">
        <w:rPr>
          <w:rStyle w:val="CommentReference"/>
          <w:rFonts w:ascii="Times New Roman" w:hAnsi="Times New Roman" w:cs="Times New Roman"/>
          <w:noProof/>
          <w:color w:val="auto"/>
          <w:sz w:val="24"/>
          <w:szCs w:val="24"/>
          <w:lang w:val="bg-BG"/>
        </w:rPr>
        <w:t xml:space="preserve">Размер </w:t>
      </w:r>
      <w:r w:rsidR="00CA7B68" w:rsidRPr="00DF10D1">
        <w:rPr>
          <w:rStyle w:val="CommentReference"/>
          <w:rFonts w:ascii="Times New Roman" w:hAnsi="Times New Roman" w:cs="Times New Roman"/>
          <w:noProof/>
          <w:color w:val="auto"/>
          <w:sz w:val="24"/>
          <w:szCs w:val="24"/>
          <w:lang w:val="bg-BG"/>
        </w:rPr>
        <w:t xml:space="preserve">и интензитет </w:t>
      </w:r>
      <w:r w:rsidRPr="00DF10D1">
        <w:rPr>
          <w:rStyle w:val="CommentReference"/>
          <w:rFonts w:ascii="Times New Roman" w:hAnsi="Times New Roman" w:cs="Times New Roman"/>
          <w:noProof/>
          <w:color w:val="auto"/>
          <w:sz w:val="24"/>
          <w:szCs w:val="24"/>
          <w:lang w:val="bg-BG"/>
        </w:rPr>
        <w:t>на помощта</w:t>
      </w:r>
    </w:p>
    <w:p w14:paraId="451B3999" w14:textId="77777777" w:rsidR="00E96DEE" w:rsidRPr="00DF10D1" w:rsidRDefault="00E96DEE" w:rsidP="00703D1E">
      <w:pPr>
        <w:spacing w:before="120"/>
        <w:ind w:firstLine="360"/>
        <w:jc w:val="both"/>
        <w:rPr>
          <w:rFonts w:ascii="Times New Roman" w:hAnsi="Times New Roman"/>
          <w:b/>
          <w:bCs/>
          <w:sz w:val="24"/>
          <w:szCs w:val="24"/>
          <w:lang w:val="bg-BG"/>
        </w:rPr>
      </w:pPr>
    </w:p>
    <w:p w14:paraId="6E2AFCEE" w14:textId="77777777" w:rsidR="00E44229" w:rsidRPr="00DF10D1" w:rsidRDefault="00E44229" w:rsidP="00E44229">
      <w:pPr>
        <w:spacing w:before="120" w:after="120"/>
        <w:jc w:val="both"/>
        <w:rPr>
          <w:rFonts w:ascii="Times New Roman" w:hAnsi="Times New Roman"/>
          <w:b/>
          <w:sz w:val="24"/>
          <w:szCs w:val="24"/>
          <w:lang w:val="bg-BG"/>
        </w:rPr>
      </w:pPr>
      <w:r w:rsidRPr="00DF10D1">
        <w:rPr>
          <w:rFonts w:ascii="Times New Roman" w:hAnsi="Times New Roman"/>
          <w:b/>
          <w:sz w:val="24"/>
          <w:szCs w:val="24"/>
          <w:lang w:val="bg-BG"/>
        </w:rPr>
        <w:t>!Интензитетът на помощта по чл. 36а от Регламент (ЕС) № 651/2014 не надхвърля 20% от допустимите разходи. Интензитетът на помощта може да бъде увеличен с 20 процентни пункта за средни предприятия и с 30 процентни пункта за малки предприятия. Интензитетът на помощта може да бъде увеличен с 15 процентни пункта за инвестиции, осъществявани в подпомагани региони (инвестиции извън ЮЗР), и с 5 процентни пункта за инвестиции, осъществявани в ЮЗР.</w:t>
      </w:r>
    </w:p>
    <w:p w14:paraId="068DDEF0" w14:textId="5B13B1C9" w:rsidR="00E44229" w:rsidRPr="00DF10D1" w:rsidRDefault="00E44229" w:rsidP="00D74185">
      <w:pPr>
        <w:spacing w:before="120" w:after="120"/>
        <w:jc w:val="both"/>
        <w:rPr>
          <w:rFonts w:ascii="Times New Roman" w:hAnsi="Times New Roman"/>
          <w:sz w:val="24"/>
          <w:szCs w:val="24"/>
          <w:lang w:val="bg-BG"/>
        </w:rPr>
      </w:pPr>
    </w:p>
    <w:p w14:paraId="325750C7" w14:textId="77777777" w:rsidR="00E44229" w:rsidRPr="00DF10D1" w:rsidRDefault="00E44229" w:rsidP="00E44229">
      <w:pPr>
        <w:spacing w:before="120" w:after="120"/>
        <w:jc w:val="both"/>
        <w:rPr>
          <w:rFonts w:ascii="Times New Roman" w:hAnsi="Times New Roman"/>
          <w:b/>
          <w:bCs/>
          <w:sz w:val="24"/>
          <w:szCs w:val="24"/>
          <w:lang w:val="bg-BG"/>
        </w:rPr>
      </w:pPr>
      <w:r w:rsidRPr="00DF10D1">
        <w:rPr>
          <w:rFonts w:ascii="Times New Roman" w:hAnsi="Times New Roman"/>
          <w:b/>
          <w:bCs/>
          <w:sz w:val="24"/>
          <w:szCs w:val="24"/>
          <w:lang w:val="bg-BG"/>
        </w:rPr>
        <w:t>!!!Максимално допустимия размер на помощта по чл. 4, пар. 1, буква „т“ от Регламент на Комисията (ЕС) № 651/2014 – е в размер на левовата равностойност на 30 млн. евро на предприятие за инвестиционен проект, както и средно годишния бюджет на настоящата схема по чл.36а на Регламент (ЕС) № 651/2014 не следва да  превишава 300 милиона евро.</w:t>
      </w:r>
    </w:p>
    <w:p w14:paraId="5AC2A953" w14:textId="77777777" w:rsidR="00E44229" w:rsidRPr="00DF10D1" w:rsidRDefault="00E44229" w:rsidP="00E44229">
      <w:pPr>
        <w:spacing w:before="120" w:after="120"/>
        <w:jc w:val="both"/>
        <w:rPr>
          <w:rFonts w:ascii="Times New Roman" w:hAnsi="Times New Roman"/>
          <w:b/>
          <w:bCs/>
          <w:sz w:val="24"/>
          <w:szCs w:val="24"/>
          <w:lang w:val="bg-BG"/>
        </w:rPr>
      </w:pPr>
      <w:r w:rsidRPr="00DF10D1">
        <w:rPr>
          <w:rFonts w:ascii="Times New Roman" w:hAnsi="Times New Roman"/>
          <w:b/>
          <w:bCs/>
          <w:sz w:val="24"/>
          <w:szCs w:val="24"/>
          <w:lang w:val="bg-BG"/>
        </w:rPr>
        <w:t xml:space="preserve">Помощта, предоставена на което и да било предприятие по процедурата, не може да нахвърля 40 % от общия бюджет на настоящата схема по чл.36а от Регламент (ЕС) № 651/2014. </w:t>
      </w:r>
    </w:p>
    <w:p w14:paraId="78E6B67B" w14:textId="77777777" w:rsidR="00E44229" w:rsidRPr="00DF10D1" w:rsidRDefault="00E44229" w:rsidP="00E44229">
      <w:pPr>
        <w:spacing w:before="120" w:after="120"/>
        <w:jc w:val="both"/>
        <w:rPr>
          <w:rFonts w:ascii="Times New Roman" w:hAnsi="Times New Roman"/>
          <w:b/>
          <w:bCs/>
          <w:sz w:val="24"/>
          <w:szCs w:val="24"/>
          <w:lang w:val="bg-BG"/>
        </w:rPr>
      </w:pPr>
      <w:r w:rsidRPr="00DF10D1">
        <w:rPr>
          <w:rFonts w:ascii="Times New Roman" w:hAnsi="Times New Roman"/>
          <w:b/>
          <w:bCs/>
          <w:sz w:val="24"/>
          <w:szCs w:val="24"/>
          <w:lang w:val="bg-BG"/>
        </w:rPr>
        <w:t>Общия бюджет на настоящата схема по чл.36а от Регламент (ЕС) № 651/2014 е в размер на 75 млн.лв.</w:t>
      </w:r>
    </w:p>
    <w:p w14:paraId="1D98463C" w14:textId="3137330C" w:rsidR="00E44229" w:rsidRPr="00DF10D1" w:rsidRDefault="00E44229" w:rsidP="00D74185">
      <w:pPr>
        <w:spacing w:before="120" w:after="120"/>
        <w:jc w:val="both"/>
        <w:rPr>
          <w:rFonts w:ascii="Times New Roman" w:hAnsi="Times New Roman"/>
          <w:sz w:val="24"/>
          <w:szCs w:val="24"/>
          <w:lang w:val="bg-BG"/>
        </w:rPr>
      </w:pPr>
    </w:p>
    <w:p w14:paraId="0FD9DFD7" w14:textId="77777777" w:rsidR="00897641" w:rsidRPr="00DF10D1" w:rsidRDefault="00897641" w:rsidP="00897641">
      <w:pPr>
        <w:spacing w:before="120"/>
        <w:ind w:firstLine="360"/>
        <w:jc w:val="both"/>
        <w:rPr>
          <w:rFonts w:ascii="Times New Roman" w:hAnsi="Times New Roman"/>
          <w:b/>
          <w:bCs/>
          <w:sz w:val="24"/>
          <w:szCs w:val="24"/>
          <w:lang w:val="bg-BG"/>
        </w:rPr>
      </w:pPr>
      <w:r w:rsidRPr="00DF10D1">
        <w:rPr>
          <w:rFonts w:ascii="Times New Roman" w:hAnsi="Times New Roman"/>
          <w:b/>
          <w:bCs/>
          <w:sz w:val="24"/>
          <w:szCs w:val="24"/>
          <w:lang w:val="bg-BG"/>
        </w:rPr>
        <w:t xml:space="preserve">Съгласно чл. 4, пар. 2 от Регламент (ЕС) № 651/2014. прагът не може да бъде заобикалян чрез изкуствено разделяне на проекти. </w:t>
      </w:r>
    </w:p>
    <w:p w14:paraId="017F50A5" w14:textId="77777777" w:rsidR="00897641" w:rsidRPr="00DF10D1" w:rsidRDefault="00897641" w:rsidP="00703D1E">
      <w:pPr>
        <w:spacing w:before="120"/>
        <w:ind w:firstLine="360"/>
        <w:jc w:val="both"/>
        <w:rPr>
          <w:rFonts w:ascii="Times New Roman" w:hAnsi="Times New Roman"/>
          <w:sz w:val="24"/>
          <w:szCs w:val="24"/>
          <w:lang w:val="bg-BG"/>
        </w:rPr>
      </w:pPr>
    </w:p>
    <w:p w14:paraId="37FA6BCE" w14:textId="77777777" w:rsidR="00A25FCD" w:rsidRPr="00DF10D1" w:rsidRDefault="005E7FA7" w:rsidP="00703D1E">
      <w:pPr>
        <w:spacing w:before="120"/>
        <w:ind w:firstLine="360"/>
        <w:jc w:val="both"/>
        <w:rPr>
          <w:rFonts w:ascii="Times New Roman" w:hAnsi="Times New Roman"/>
          <w:sz w:val="24"/>
          <w:szCs w:val="24"/>
          <w:lang w:val="bg-BG"/>
        </w:rPr>
      </w:pPr>
      <w:r w:rsidRPr="00DF10D1">
        <w:rPr>
          <w:rFonts w:ascii="Times New Roman" w:hAnsi="Times New Roman"/>
          <w:sz w:val="24"/>
          <w:szCs w:val="24"/>
          <w:lang w:val="bg-BG"/>
        </w:rPr>
        <w:t xml:space="preserve">За да се изчислят интензитетът на помощта и допустимите разходи, всички използвани данни се събират преди приспадането на данъци и други такси. </w:t>
      </w:r>
      <w:r w:rsidR="002E439B" w:rsidRPr="00DF10D1">
        <w:rPr>
          <w:rFonts w:ascii="Times New Roman" w:hAnsi="Times New Roman"/>
          <w:sz w:val="24"/>
          <w:szCs w:val="24"/>
          <w:lang w:val="bg-BG"/>
        </w:rPr>
        <w:t>Данъкът върху добавената стойност, начислен върху допустимите разходи, който подлежи на възстановяване съгласно приложимото национално данъчно право, обаче не се взема предвид при изчисляване на интензитета на помощта и допустимите разходи.</w:t>
      </w:r>
    </w:p>
    <w:p w14:paraId="1D067D4D" w14:textId="77777777" w:rsidR="004B08DF" w:rsidRPr="00DF10D1" w:rsidRDefault="002E439B" w:rsidP="004B08DF">
      <w:pPr>
        <w:spacing w:before="120"/>
        <w:ind w:firstLine="360"/>
        <w:jc w:val="both"/>
        <w:rPr>
          <w:rFonts w:ascii="Times New Roman" w:hAnsi="Times New Roman"/>
          <w:sz w:val="24"/>
          <w:szCs w:val="24"/>
          <w:lang w:val="bg-BG"/>
        </w:rPr>
      </w:pPr>
      <w:r w:rsidRPr="00DF10D1">
        <w:rPr>
          <w:rFonts w:ascii="Times New Roman" w:hAnsi="Times New Roman"/>
          <w:sz w:val="24"/>
          <w:szCs w:val="24"/>
          <w:lang w:val="bg-BG"/>
        </w:rPr>
        <w:t xml:space="preserve">Платимите в бъдеще помощи, включително помощите, които се предоставят на няколко части, се сконтират към тяхната стойност към момента на предоставянето им. Допустимите разходи се сконтират до тяхната стойност към момента на предоставяне на помощта. </w:t>
      </w:r>
      <w:r w:rsidR="004B08DF" w:rsidRPr="00DF10D1">
        <w:rPr>
          <w:rFonts w:ascii="Times New Roman" w:hAnsi="Times New Roman"/>
          <w:sz w:val="24"/>
          <w:szCs w:val="24"/>
          <w:lang w:val="bg-BG"/>
        </w:rPr>
        <w:t xml:space="preserve">Допустимите разходи се сконтират до тяхната стойност към момента на </w:t>
      </w:r>
      <w:r w:rsidR="004B08DF" w:rsidRPr="00DF10D1">
        <w:rPr>
          <w:rFonts w:ascii="Times New Roman" w:hAnsi="Times New Roman"/>
          <w:sz w:val="24"/>
          <w:szCs w:val="24"/>
          <w:lang w:val="bg-BG"/>
        </w:rPr>
        <w:lastRenderedPageBreak/>
        <w:t>предоставяне на помощта.</w:t>
      </w:r>
      <w:r w:rsidR="004B08DF" w:rsidRPr="00DF10D1">
        <w:rPr>
          <w:rFonts w:ascii="Times New Roman" w:hAnsi="Times New Roman"/>
          <w:sz w:val="24"/>
          <w:szCs w:val="24"/>
          <w:vertAlign w:val="superscript"/>
          <w:lang w:val="bg-BG"/>
        </w:rPr>
        <w:footnoteReference w:id="2"/>
      </w:r>
      <w:r w:rsidR="004B08DF" w:rsidRPr="00DF10D1">
        <w:rPr>
          <w:rFonts w:ascii="Times New Roman" w:hAnsi="Times New Roman"/>
          <w:sz w:val="24"/>
          <w:szCs w:val="24"/>
          <w:lang w:val="bg-BG"/>
        </w:rPr>
        <w:t xml:space="preserve"> Лихвеният процент, който се използва за сконтиране, е сконтовият процент, приложим към момента на предоставяне на помощта.</w:t>
      </w:r>
    </w:p>
    <w:p w14:paraId="1D01C70B" w14:textId="77777777" w:rsidR="0074170E" w:rsidRPr="00DF10D1" w:rsidRDefault="0074170E" w:rsidP="00703D1E">
      <w:pPr>
        <w:pStyle w:val="Heading1"/>
        <w:numPr>
          <w:ilvl w:val="0"/>
          <w:numId w:val="35"/>
        </w:numPr>
        <w:spacing w:before="120"/>
        <w:jc w:val="both"/>
        <w:rPr>
          <w:rStyle w:val="CommentReference"/>
          <w:rFonts w:ascii="Times New Roman" w:hAnsi="Times New Roman" w:cs="Times New Roman"/>
          <w:noProof/>
          <w:color w:val="auto"/>
          <w:sz w:val="24"/>
          <w:szCs w:val="24"/>
          <w:lang w:val="bg-BG"/>
        </w:rPr>
      </w:pPr>
      <w:r w:rsidRPr="00DF10D1">
        <w:rPr>
          <w:rStyle w:val="CommentReference"/>
          <w:rFonts w:ascii="Times New Roman" w:hAnsi="Times New Roman" w:cs="Times New Roman"/>
          <w:noProof/>
          <w:color w:val="auto"/>
          <w:sz w:val="24"/>
          <w:szCs w:val="24"/>
          <w:lang w:val="bg-BG"/>
        </w:rPr>
        <w:t>Прозрачност на помощта и стимулиращ ефект</w:t>
      </w:r>
    </w:p>
    <w:p w14:paraId="683DC331" w14:textId="77777777" w:rsidR="00A25FCD" w:rsidRPr="00DF10D1" w:rsidRDefault="00E104E3" w:rsidP="00703D1E">
      <w:pPr>
        <w:spacing w:before="120"/>
        <w:ind w:firstLine="360"/>
        <w:jc w:val="both"/>
        <w:rPr>
          <w:rFonts w:ascii="Times New Roman" w:hAnsi="Times New Roman"/>
          <w:sz w:val="24"/>
          <w:szCs w:val="24"/>
          <w:lang w:val="bg-BG"/>
        </w:rPr>
      </w:pPr>
      <w:r w:rsidRPr="00DF10D1">
        <w:rPr>
          <w:rStyle w:val="CommentReference"/>
          <w:rFonts w:ascii="Times New Roman" w:hAnsi="Times New Roman"/>
          <w:noProof/>
          <w:sz w:val="24"/>
          <w:szCs w:val="24"/>
          <w:lang w:val="bg-BG"/>
        </w:rPr>
        <w:t>Средствата</w:t>
      </w:r>
      <w:r w:rsidR="0074170E" w:rsidRPr="00DF10D1">
        <w:rPr>
          <w:rStyle w:val="CommentReference"/>
          <w:rFonts w:ascii="Times New Roman" w:hAnsi="Times New Roman"/>
          <w:noProof/>
          <w:sz w:val="24"/>
          <w:szCs w:val="24"/>
          <w:lang w:val="bg-BG"/>
        </w:rPr>
        <w:t xml:space="preserve"> по настоящата схема се счита за прозрачн</w:t>
      </w:r>
      <w:r w:rsidRPr="00DF10D1">
        <w:rPr>
          <w:rStyle w:val="CommentReference"/>
          <w:rFonts w:ascii="Times New Roman" w:hAnsi="Times New Roman"/>
          <w:noProof/>
          <w:sz w:val="24"/>
          <w:szCs w:val="24"/>
          <w:lang w:val="bg-BG"/>
        </w:rPr>
        <w:t>и</w:t>
      </w:r>
      <w:r w:rsidR="0074170E" w:rsidRPr="00DF10D1">
        <w:rPr>
          <w:rStyle w:val="CommentReference"/>
          <w:rFonts w:ascii="Times New Roman" w:hAnsi="Times New Roman"/>
          <w:noProof/>
          <w:sz w:val="24"/>
          <w:szCs w:val="24"/>
          <w:lang w:val="bg-BG"/>
        </w:rPr>
        <w:t xml:space="preserve"> на основание чл. 5, пар.2, б. а) от </w:t>
      </w:r>
      <w:r w:rsidR="00A25FCD" w:rsidRPr="00DF10D1">
        <w:rPr>
          <w:rFonts w:ascii="Times New Roman" w:hAnsi="Times New Roman"/>
          <w:sz w:val="24"/>
          <w:szCs w:val="24"/>
          <w:lang w:val="bg-BG"/>
        </w:rPr>
        <w:t>Регламент (ЕС) № 651/2014 -</w:t>
      </w:r>
      <w:r w:rsidR="0074170E" w:rsidRPr="00DF10D1">
        <w:rPr>
          <w:rFonts w:ascii="Times New Roman" w:hAnsi="Times New Roman"/>
          <w:sz w:val="24"/>
          <w:szCs w:val="24"/>
          <w:lang w:val="bg-BG"/>
        </w:rPr>
        <w:t xml:space="preserve"> </w:t>
      </w:r>
      <w:r w:rsidR="00A25FCD" w:rsidRPr="00DF10D1">
        <w:rPr>
          <w:rFonts w:ascii="Times New Roman" w:hAnsi="Times New Roman"/>
          <w:sz w:val="24"/>
          <w:szCs w:val="24"/>
          <w:lang w:val="bg-BG"/>
        </w:rPr>
        <w:t>помощи под формата на безвъзмездни средства.</w:t>
      </w:r>
    </w:p>
    <w:p w14:paraId="2476129B" w14:textId="77777777" w:rsidR="00A25FCD" w:rsidRPr="00DF10D1" w:rsidRDefault="00A25FCD" w:rsidP="00703D1E">
      <w:pPr>
        <w:spacing w:before="120"/>
        <w:ind w:firstLine="360"/>
        <w:jc w:val="both"/>
        <w:rPr>
          <w:rFonts w:ascii="Times New Roman" w:hAnsi="Times New Roman"/>
          <w:sz w:val="24"/>
          <w:szCs w:val="24"/>
          <w:lang w:val="bg-BG"/>
        </w:rPr>
      </w:pPr>
    </w:p>
    <w:p w14:paraId="60B49C0C" w14:textId="77777777" w:rsidR="00E104E3" w:rsidRPr="00DF10D1" w:rsidRDefault="0074170E" w:rsidP="00703D1E">
      <w:pPr>
        <w:spacing w:before="120"/>
        <w:ind w:firstLine="360"/>
        <w:jc w:val="both"/>
        <w:rPr>
          <w:rFonts w:ascii="Times New Roman" w:hAnsi="Times New Roman"/>
          <w:sz w:val="24"/>
          <w:szCs w:val="24"/>
          <w:lang w:val="bg-BG" w:bidi="bg-BG"/>
        </w:rPr>
      </w:pPr>
      <w:r w:rsidRPr="00DF10D1">
        <w:rPr>
          <w:rFonts w:ascii="Times New Roman" w:hAnsi="Times New Roman"/>
          <w:sz w:val="24"/>
          <w:szCs w:val="24"/>
          <w:lang w:val="bg-BG"/>
        </w:rPr>
        <w:t xml:space="preserve">Съгласно чл. </w:t>
      </w:r>
      <w:r w:rsidR="007A0AF9" w:rsidRPr="00DF10D1">
        <w:rPr>
          <w:rFonts w:ascii="Times New Roman" w:hAnsi="Times New Roman"/>
          <w:sz w:val="24"/>
          <w:szCs w:val="24"/>
          <w:lang w:val="bg-BG"/>
        </w:rPr>
        <w:t>6</w:t>
      </w:r>
      <w:r w:rsidR="00E104E3" w:rsidRPr="00DF10D1">
        <w:rPr>
          <w:rFonts w:ascii="Times New Roman" w:hAnsi="Times New Roman"/>
          <w:sz w:val="24"/>
          <w:szCs w:val="24"/>
          <w:lang w:val="bg-BG"/>
        </w:rPr>
        <w:t xml:space="preserve"> </w:t>
      </w:r>
      <w:r w:rsidR="00A25FCD" w:rsidRPr="00DF10D1">
        <w:rPr>
          <w:rFonts w:ascii="Times New Roman" w:hAnsi="Times New Roman"/>
          <w:sz w:val="24"/>
          <w:szCs w:val="24"/>
          <w:lang w:val="bg-BG"/>
        </w:rPr>
        <w:t xml:space="preserve">на </w:t>
      </w:r>
      <w:r w:rsidR="002658DC" w:rsidRPr="00DF10D1">
        <w:rPr>
          <w:rFonts w:ascii="Times New Roman" w:hAnsi="Times New Roman"/>
          <w:sz w:val="24"/>
          <w:szCs w:val="24"/>
          <w:lang w:val="bg-BG"/>
        </w:rPr>
        <w:t xml:space="preserve">Регламент (ЕС) № 651/2014 </w:t>
      </w:r>
      <w:r w:rsidR="00E104E3" w:rsidRPr="00DF10D1">
        <w:rPr>
          <w:rFonts w:ascii="Times New Roman" w:hAnsi="Times New Roman"/>
          <w:sz w:val="24"/>
          <w:szCs w:val="24"/>
          <w:lang w:val="bg-BG"/>
        </w:rPr>
        <w:t>п</w:t>
      </w:r>
      <w:r w:rsidR="00E104E3" w:rsidRPr="00DF10D1">
        <w:rPr>
          <w:rFonts w:ascii="Times New Roman" w:hAnsi="Times New Roman"/>
          <w:sz w:val="24"/>
          <w:szCs w:val="24"/>
          <w:lang w:val="bg-BG" w:bidi="bg-BG"/>
        </w:rPr>
        <w:t>омощта може да бъде освободена от задължението за уведомяване само ако има стимулиращ ефект</w:t>
      </w:r>
      <w:r w:rsidR="00A15F26" w:rsidRPr="00DF10D1">
        <w:rPr>
          <w:rFonts w:ascii="Times New Roman" w:hAnsi="Times New Roman"/>
          <w:sz w:val="24"/>
          <w:szCs w:val="24"/>
          <w:lang w:val="bg-BG" w:bidi="bg-BG"/>
        </w:rPr>
        <w:t>.</w:t>
      </w:r>
    </w:p>
    <w:p w14:paraId="0BD36D1A" w14:textId="4073BCDB" w:rsidR="00E104E3" w:rsidRPr="00DF10D1" w:rsidRDefault="00E104E3" w:rsidP="00703D1E">
      <w:pPr>
        <w:spacing w:before="120"/>
        <w:ind w:firstLine="360"/>
        <w:jc w:val="both"/>
        <w:rPr>
          <w:rFonts w:ascii="Times New Roman" w:hAnsi="Times New Roman"/>
          <w:sz w:val="24"/>
          <w:szCs w:val="24"/>
          <w:lang w:val="bg-BG" w:bidi="bg-BG"/>
        </w:rPr>
      </w:pPr>
      <w:r w:rsidRPr="00DF10D1">
        <w:rPr>
          <w:rFonts w:ascii="Times New Roman" w:hAnsi="Times New Roman"/>
          <w:b/>
          <w:sz w:val="24"/>
          <w:szCs w:val="24"/>
          <w:lang w:val="bg-BG" w:bidi="bg-BG"/>
        </w:rPr>
        <w:t>Приема се</w:t>
      </w:r>
      <w:r w:rsidR="00A15F26" w:rsidRPr="00DF10D1">
        <w:rPr>
          <w:rFonts w:ascii="Times New Roman" w:hAnsi="Times New Roman"/>
          <w:b/>
          <w:sz w:val="24"/>
          <w:szCs w:val="24"/>
          <w:lang w:val="bg-BG" w:bidi="bg-BG"/>
        </w:rPr>
        <w:t>,</w:t>
      </w:r>
      <w:r w:rsidRPr="00DF10D1">
        <w:rPr>
          <w:rFonts w:ascii="Times New Roman" w:hAnsi="Times New Roman"/>
          <w:b/>
          <w:sz w:val="24"/>
          <w:szCs w:val="24"/>
          <w:lang w:val="bg-BG" w:bidi="bg-BG"/>
        </w:rPr>
        <w:t xml:space="preserve"> че помощта има стимулиращ ефект ако </w:t>
      </w:r>
      <w:r w:rsidR="00FB1EAB" w:rsidRPr="00DF10D1">
        <w:rPr>
          <w:rFonts w:ascii="Times New Roman" w:hAnsi="Times New Roman"/>
          <w:b/>
          <w:sz w:val="24"/>
          <w:szCs w:val="24"/>
          <w:lang w:val="bg-BG" w:bidi="bg-BG"/>
        </w:rPr>
        <w:t xml:space="preserve">кандидата/партньора </w:t>
      </w:r>
      <w:r w:rsidRPr="00DF10D1">
        <w:rPr>
          <w:rFonts w:ascii="Times New Roman" w:hAnsi="Times New Roman"/>
          <w:b/>
          <w:sz w:val="24"/>
          <w:szCs w:val="24"/>
          <w:lang w:val="bg-BG" w:bidi="bg-BG"/>
        </w:rPr>
        <w:t xml:space="preserve">е подал писмено заявление за помощ до държавата членка </w:t>
      </w:r>
      <w:r w:rsidRPr="00DF10D1">
        <w:rPr>
          <w:rFonts w:ascii="Times New Roman" w:hAnsi="Times New Roman"/>
          <w:b/>
          <w:sz w:val="24"/>
          <w:szCs w:val="24"/>
          <w:u w:val="single"/>
          <w:lang w:val="bg-BG" w:bidi="bg-BG"/>
        </w:rPr>
        <w:t>преди работата</w:t>
      </w:r>
      <w:r w:rsidRPr="00DF10D1">
        <w:rPr>
          <w:rFonts w:ascii="Times New Roman" w:hAnsi="Times New Roman"/>
          <w:sz w:val="24"/>
          <w:szCs w:val="24"/>
          <w:u w:val="single"/>
          <w:lang w:val="bg-BG" w:bidi="bg-BG"/>
        </w:rPr>
        <w:t xml:space="preserve"> </w:t>
      </w:r>
      <w:r w:rsidRPr="00DF10D1">
        <w:rPr>
          <w:rFonts w:ascii="Times New Roman" w:hAnsi="Times New Roman"/>
          <w:b/>
          <w:sz w:val="24"/>
          <w:szCs w:val="24"/>
          <w:u w:val="single"/>
          <w:lang w:val="bg-BG" w:bidi="bg-BG"/>
        </w:rPr>
        <w:t>по проекта или дейностите да е започнала</w:t>
      </w:r>
      <w:r w:rsidR="00114B2A" w:rsidRPr="00DF10D1">
        <w:rPr>
          <w:rStyle w:val="FootnoteReference"/>
          <w:rFonts w:ascii="Times New Roman" w:hAnsi="Times New Roman"/>
          <w:b/>
          <w:sz w:val="24"/>
          <w:szCs w:val="24"/>
          <w:u w:val="single"/>
          <w:lang w:val="bg-BG" w:bidi="bg-BG"/>
        </w:rPr>
        <w:footnoteReference w:id="3"/>
      </w:r>
      <w:r w:rsidRPr="00DF10D1">
        <w:rPr>
          <w:rFonts w:ascii="Times New Roman" w:hAnsi="Times New Roman"/>
          <w:sz w:val="24"/>
          <w:szCs w:val="24"/>
          <w:lang w:val="bg-BG" w:bidi="bg-BG"/>
        </w:rPr>
        <w:t>, което съдържа поне следната информация:</w:t>
      </w:r>
    </w:p>
    <w:p w14:paraId="490D31C5" w14:textId="77777777" w:rsidR="00E104E3" w:rsidRPr="00DF10D1" w:rsidRDefault="00E104E3" w:rsidP="00703D1E">
      <w:pPr>
        <w:numPr>
          <w:ilvl w:val="1"/>
          <w:numId w:val="49"/>
        </w:numPr>
        <w:spacing w:before="120"/>
        <w:jc w:val="both"/>
        <w:rPr>
          <w:rFonts w:ascii="Times New Roman" w:hAnsi="Times New Roman"/>
          <w:sz w:val="24"/>
          <w:szCs w:val="24"/>
          <w:lang w:val="bg-BG" w:bidi="bg-BG"/>
        </w:rPr>
      </w:pPr>
      <w:r w:rsidRPr="00DF10D1">
        <w:rPr>
          <w:rFonts w:ascii="Times New Roman" w:hAnsi="Times New Roman"/>
          <w:sz w:val="24"/>
          <w:szCs w:val="24"/>
          <w:lang w:val="bg-BG" w:bidi="bg-BG"/>
        </w:rPr>
        <w:t>наименование и големина на предприятието;</w:t>
      </w:r>
    </w:p>
    <w:p w14:paraId="1A3B3CAB" w14:textId="77777777" w:rsidR="00E104E3" w:rsidRPr="00DF10D1" w:rsidRDefault="00E104E3" w:rsidP="00703D1E">
      <w:pPr>
        <w:numPr>
          <w:ilvl w:val="1"/>
          <w:numId w:val="49"/>
        </w:numPr>
        <w:spacing w:before="120"/>
        <w:jc w:val="both"/>
        <w:rPr>
          <w:rFonts w:ascii="Times New Roman" w:hAnsi="Times New Roman"/>
          <w:sz w:val="24"/>
          <w:szCs w:val="24"/>
          <w:lang w:val="bg-BG" w:bidi="bg-BG"/>
        </w:rPr>
      </w:pPr>
      <w:r w:rsidRPr="00DF10D1">
        <w:rPr>
          <w:rFonts w:ascii="Times New Roman" w:hAnsi="Times New Roman"/>
          <w:sz w:val="24"/>
          <w:szCs w:val="24"/>
          <w:lang w:val="bg-BG" w:bidi="bg-BG"/>
        </w:rPr>
        <w:t>описание на проекта, включително неговата начална и крайна дата;</w:t>
      </w:r>
    </w:p>
    <w:p w14:paraId="6D932763" w14:textId="77777777" w:rsidR="00E104E3" w:rsidRPr="00DF10D1" w:rsidRDefault="00E104E3" w:rsidP="00703D1E">
      <w:pPr>
        <w:numPr>
          <w:ilvl w:val="1"/>
          <w:numId w:val="49"/>
        </w:numPr>
        <w:spacing w:before="120"/>
        <w:jc w:val="both"/>
        <w:rPr>
          <w:rFonts w:ascii="Times New Roman" w:hAnsi="Times New Roman"/>
          <w:sz w:val="24"/>
          <w:szCs w:val="24"/>
          <w:lang w:val="bg-BG" w:bidi="bg-BG"/>
        </w:rPr>
      </w:pPr>
      <w:r w:rsidRPr="00DF10D1">
        <w:rPr>
          <w:rFonts w:ascii="Times New Roman" w:hAnsi="Times New Roman"/>
          <w:sz w:val="24"/>
          <w:szCs w:val="24"/>
          <w:lang w:val="bg-BG" w:bidi="bg-BG"/>
        </w:rPr>
        <w:t>местонахождение на проекта;</w:t>
      </w:r>
    </w:p>
    <w:p w14:paraId="415AF4CE" w14:textId="77777777" w:rsidR="00E104E3" w:rsidRPr="00DF10D1" w:rsidRDefault="00E104E3" w:rsidP="00703D1E">
      <w:pPr>
        <w:numPr>
          <w:ilvl w:val="1"/>
          <w:numId w:val="49"/>
        </w:numPr>
        <w:spacing w:before="120"/>
        <w:jc w:val="both"/>
        <w:rPr>
          <w:rFonts w:ascii="Times New Roman" w:hAnsi="Times New Roman"/>
          <w:sz w:val="24"/>
          <w:szCs w:val="24"/>
          <w:lang w:val="bg-BG" w:bidi="bg-BG"/>
        </w:rPr>
      </w:pPr>
      <w:r w:rsidRPr="00DF10D1">
        <w:rPr>
          <w:rFonts w:ascii="Times New Roman" w:hAnsi="Times New Roman"/>
          <w:sz w:val="24"/>
          <w:szCs w:val="24"/>
          <w:lang w:val="bg-BG" w:bidi="bg-BG"/>
        </w:rPr>
        <w:t>списък с разходите по проекта;</w:t>
      </w:r>
    </w:p>
    <w:p w14:paraId="596E55C8" w14:textId="77777777" w:rsidR="00E104E3" w:rsidRPr="00DF10D1" w:rsidRDefault="00E104E3" w:rsidP="00703D1E">
      <w:pPr>
        <w:numPr>
          <w:ilvl w:val="1"/>
          <w:numId w:val="49"/>
        </w:numPr>
        <w:spacing w:before="120"/>
        <w:jc w:val="both"/>
        <w:rPr>
          <w:rFonts w:ascii="Times New Roman" w:hAnsi="Times New Roman"/>
          <w:sz w:val="24"/>
          <w:szCs w:val="24"/>
          <w:lang w:val="bg-BG" w:bidi="bg-BG"/>
        </w:rPr>
      </w:pPr>
      <w:r w:rsidRPr="00DF10D1">
        <w:rPr>
          <w:rFonts w:ascii="Times New Roman" w:hAnsi="Times New Roman"/>
          <w:sz w:val="24"/>
          <w:szCs w:val="24"/>
          <w:lang w:val="bg-BG" w:bidi="bg-BG"/>
        </w:rPr>
        <w:t xml:space="preserve">вид на помощта (безвъзмездни средства, заем, гаранция, </w:t>
      </w:r>
      <w:proofErr w:type="spellStart"/>
      <w:r w:rsidRPr="00DF10D1">
        <w:rPr>
          <w:rFonts w:ascii="Times New Roman" w:hAnsi="Times New Roman"/>
          <w:sz w:val="24"/>
          <w:szCs w:val="24"/>
          <w:lang w:val="bg-BG" w:bidi="bg-BG"/>
        </w:rPr>
        <w:t>възстановяем</w:t>
      </w:r>
      <w:proofErr w:type="spellEnd"/>
      <w:r w:rsidRPr="00DF10D1">
        <w:rPr>
          <w:rFonts w:ascii="Times New Roman" w:hAnsi="Times New Roman"/>
          <w:sz w:val="24"/>
          <w:szCs w:val="24"/>
          <w:lang w:val="bg-BG" w:bidi="bg-BG"/>
        </w:rPr>
        <w:t xml:space="preserve"> аванс, вливане на капитал и т.н.) и размер на публичното финансиране, необходимо за проекта.</w:t>
      </w:r>
    </w:p>
    <w:p w14:paraId="1FBD7CB9" w14:textId="77777777" w:rsidR="0026625D" w:rsidRPr="00DF10D1" w:rsidRDefault="00A67BFB" w:rsidP="0026625D">
      <w:pPr>
        <w:spacing w:before="120"/>
        <w:ind w:firstLine="708"/>
        <w:jc w:val="both"/>
        <w:rPr>
          <w:rFonts w:ascii="Times New Roman" w:hAnsi="Times New Roman"/>
          <w:b/>
          <w:sz w:val="24"/>
          <w:szCs w:val="24"/>
          <w:lang w:val="bg-BG" w:bidi="bg-BG"/>
        </w:rPr>
      </w:pPr>
      <w:r w:rsidRPr="00DF10D1">
        <w:rPr>
          <w:rFonts w:ascii="Times New Roman" w:hAnsi="Times New Roman"/>
          <w:sz w:val="24"/>
          <w:szCs w:val="24"/>
          <w:lang w:val="bg-BG" w:bidi="bg-BG"/>
        </w:rPr>
        <w:t>Разходите  по настоящ</w:t>
      </w:r>
      <w:r w:rsidR="00DC2F62" w:rsidRPr="00DF10D1">
        <w:rPr>
          <w:rFonts w:ascii="Times New Roman" w:hAnsi="Times New Roman"/>
          <w:sz w:val="24"/>
          <w:szCs w:val="24"/>
          <w:lang w:val="bg-BG" w:bidi="bg-BG"/>
        </w:rPr>
        <w:t xml:space="preserve">ите Условия </w:t>
      </w:r>
      <w:r w:rsidRPr="00DF10D1">
        <w:rPr>
          <w:rFonts w:ascii="Times New Roman" w:hAnsi="Times New Roman"/>
          <w:sz w:val="24"/>
          <w:szCs w:val="24"/>
          <w:lang w:val="bg-BG" w:bidi="bg-BG"/>
        </w:rPr>
        <w:t xml:space="preserve"> са допустимостта, </w:t>
      </w:r>
      <w:r w:rsidR="00C059FE" w:rsidRPr="00DF10D1">
        <w:rPr>
          <w:rFonts w:ascii="Times New Roman" w:hAnsi="Times New Roman"/>
          <w:sz w:val="24"/>
          <w:szCs w:val="24"/>
          <w:lang w:val="bg-BG" w:bidi="bg-BG"/>
        </w:rPr>
        <w:t>ако са извършени</w:t>
      </w:r>
      <w:r w:rsidR="00DC2F62" w:rsidRPr="00DF10D1">
        <w:rPr>
          <w:rFonts w:ascii="Times New Roman" w:hAnsi="Times New Roman"/>
          <w:sz w:val="24"/>
          <w:szCs w:val="24"/>
          <w:lang w:val="bg-BG" w:bidi="bg-BG"/>
        </w:rPr>
        <w:t>/платени</w:t>
      </w:r>
      <w:r w:rsidR="00C059FE" w:rsidRPr="00DF10D1">
        <w:rPr>
          <w:rFonts w:ascii="Times New Roman" w:hAnsi="Times New Roman"/>
          <w:sz w:val="24"/>
          <w:szCs w:val="24"/>
          <w:lang w:val="bg-BG" w:bidi="bg-BG"/>
        </w:rPr>
        <w:t xml:space="preserve"> </w:t>
      </w:r>
      <w:r w:rsidR="0026625D" w:rsidRPr="00DF10D1">
        <w:rPr>
          <w:rFonts w:ascii="Times New Roman" w:hAnsi="Times New Roman"/>
          <w:b/>
          <w:sz w:val="24"/>
          <w:szCs w:val="24"/>
          <w:lang w:val="bg-BG" w:bidi="bg-BG"/>
        </w:rPr>
        <w:t>след дата на подаването на проектното предложение, с изключение на разходите за предварителни дейности</w:t>
      </w:r>
      <w:r w:rsidR="0026625D" w:rsidRPr="00DF10D1">
        <w:rPr>
          <w:rFonts w:ascii="Times New Roman" w:hAnsi="Times New Roman"/>
          <w:b/>
          <w:sz w:val="24"/>
          <w:szCs w:val="24"/>
          <w:vertAlign w:val="superscript"/>
          <w:lang w:val="bg-BG" w:bidi="bg-BG"/>
        </w:rPr>
        <w:footnoteReference w:id="4"/>
      </w:r>
      <w:r w:rsidR="0026625D" w:rsidRPr="00DF10D1">
        <w:rPr>
          <w:rFonts w:ascii="Times New Roman" w:hAnsi="Times New Roman"/>
          <w:b/>
          <w:sz w:val="24"/>
          <w:szCs w:val="24"/>
          <w:lang w:val="bg-BG" w:bidi="bg-BG"/>
        </w:rPr>
        <w:t xml:space="preserve">. </w:t>
      </w:r>
    </w:p>
    <w:p w14:paraId="43667EFA" w14:textId="03F79EE1" w:rsidR="0026625D" w:rsidRPr="00DF10D1" w:rsidRDefault="0026625D" w:rsidP="0026625D">
      <w:pPr>
        <w:spacing w:before="120"/>
        <w:ind w:firstLine="708"/>
        <w:jc w:val="both"/>
        <w:rPr>
          <w:rFonts w:ascii="Times New Roman" w:hAnsi="Times New Roman"/>
          <w:b/>
          <w:sz w:val="24"/>
          <w:szCs w:val="24"/>
          <w:lang w:val="bg-BG" w:bidi="bg-BG"/>
        </w:rPr>
      </w:pPr>
      <w:r w:rsidRPr="00DF10D1">
        <w:rPr>
          <w:rFonts w:ascii="Times New Roman" w:hAnsi="Times New Roman"/>
          <w:b/>
          <w:sz w:val="24"/>
          <w:szCs w:val="24"/>
          <w:lang w:val="bg-BG" w:bidi="bg-BG"/>
        </w:rPr>
        <w:t xml:space="preserve">За да бъдат финансирани разходите за предварителни дейности, които попадат в обхвата на чл.2, пар.23 от ОРГО,  следва те да бъдат извършени след като кандидата уведоми УО на ПРР чрез подаване на заявление съгласно Приложение </w:t>
      </w:r>
      <w:r w:rsidR="00FB1EAB" w:rsidRPr="00DF10D1">
        <w:rPr>
          <w:rFonts w:ascii="Times New Roman" w:hAnsi="Times New Roman"/>
          <w:b/>
          <w:sz w:val="24"/>
          <w:szCs w:val="24"/>
          <w:lang w:val="bg-BG" w:bidi="bg-BG"/>
        </w:rPr>
        <w:t xml:space="preserve">3 </w:t>
      </w:r>
      <w:r w:rsidRPr="00DF10D1">
        <w:rPr>
          <w:rFonts w:ascii="Times New Roman" w:hAnsi="Times New Roman"/>
          <w:b/>
          <w:sz w:val="24"/>
          <w:szCs w:val="24"/>
          <w:lang w:val="bg-BG" w:bidi="bg-BG"/>
        </w:rPr>
        <w:t>ЗАЯВЛЕНИЕ ЗА ПОМОЩ_</w:t>
      </w:r>
      <w:r w:rsidR="00FB1EAB" w:rsidRPr="00DF10D1">
        <w:rPr>
          <w:rFonts w:ascii="Times New Roman" w:hAnsi="Times New Roman"/>
          <w:b/>
          <w:sz w:val="24"/>
          <w:szCs w:val="24"/>
          <w:lang w:val="bg-BG" w:bidi="bg-BG"/>
        </w:rPr>
        <w:t xml:space="preserve"> Предварителни </w:t>
      </w:r>
      <w:r w:rsidRPr="00DF10D1">
        <w:rPr>
          <w:rFonts w:ascii="Times New Roman" w:hAnsi="Times New Roman"/>
          <w:b/>
          <w:sz w:val="24"/>
          <w:szCs w:val="24"/>
          <w:lang w:val="bg-BG" w:bidi="bg-BG"/>
        </w:rPr>
        <w:t xml:space="preserve">дейности. Разходите за </w:t>
      </w:r>
      <w:r w:rsidR="00FB1EAB" w:rsidRPr="00DF10D1">
        <w:rPr>
          <w:rFonts w:ascii="Times New Roman" w:hAnsi="Times New Roman"/>
          <w:b/>
          <w:sz w:val="24"/>
          <w:szCs w:val="24"/>
          <w:lang w:val="bg-BG" w:bidi="bg-BG"/>
        </w:rPr>
        <w:t xml:space="preserve">предварителни </w:t>
      </w:r>
      <w:r w:rsidRPr="00DF10D1">
        <w:rPr>
          <w:rFonts w:ascii="Times New Roman" w:hAnsi="Times New Roman"/>
          <w:b/>
          <w:sz w:val="24"/>
          <w:szCs w:val="24"/>
          <w:lang w:val="bg-BG" w:bidi="bg-BG"/>
        </w:rPr>
        <w:t xml:space="preserve">дейности по смисъла на </w:t>
      </w:r>
      <w:proofErr w:type="spellStart"/>
      <w:r w:rsidRPr="00DF10D1">
        <w:rPr>
          <w:rFonts w:ascii="Times New Roman" w:hAnsi="Times New Roman"/>
          <w:b/>
          <w:sz w:val="24"/>
          <w:szCs w:val="24"/>
          <w:lang w:val="bg-BG" w:bidi="bg-BG"/>
        </w:rPr>
        <w:t>на</w:t>
      </w:r>
      <w:proofErr w:type="spellEnd"/>
      <w:r w:rsidRPr="00DF10D1">
        <w:rPr>
          <w:rFonts w:ascii="Times New Roman" w:hAnsi="Times New Roman"/>
          <w:b/>
          <w:sz w:val="24"/>
          <w:szCs w:val="24"/>
          <w:lang w:val="bg-BG" w:bidi="bg-BG"/>
        </w:rPr>
        <w:t xml:space="preserve"> чл.2, пар.23 от ОРГО могат да се финансират, ако са извършени след подаване на заявлението по образец (</w:t>
      </w:r>
      <w:r w:rsidR="00FB1EAB" w:rsidRPr="00DF10D1">
        <w:rPr>
          <w:rFonts w:ascii="Times New Roman" w:hAnsi="Times New Roman"/>
          <w:b/>
          <w:sz w:val="24"/>
          <w:szCs w:val="24"/>
          <w:lang w:val="bg-BG" w:bidi="bg-BG"/>
        </w:rPr>
        <w:t>Приложение 3 ЗАЯВЛЕНИЕ ЗА ПОМОЩ_ Предварителни дейности</w:t>
      </w:r>
      <w:r w:rsidRPr="00DF10D1">
        <w:rPr>
          <w:rFonts w:ascii="Times New Roman" w:hAnsi="Times New Roman"/>
          <w:b/>
          <w:sz w:val="24"/>
          <w:szCs w:val="24"/>
          <w:lang w:val="bg-BG" w:bidi="bg-BG"/>
        </w:rPr>
        <w:t xml:space="preserve">).  </w:t>
      </w:r>
    </w:p>
    <w:p w14:paraId="4E221862" w14:textId="77777777" w:rsidR="0026625D" w:rsidRPr="00DF10D1" w:rsidRDefault="0026625D" w:rsidP="0026625D">
      <w:pPr>
        <w:spacing w:before="120"/>
        <w:ind w:firstLine="708"/>
        <w:jc w:val="both"/>
        <w:rPr>
          <w:rFonts w:ascii="Times New Roman" w:hAnsi="Times New Roman"/>
          <w:b/>
          <w:sz w:val="24"/>
          <w:szCs w:val="24"/>
          <w:lang w:val="bg-BG" w:bidi="bg-BG"/>
        </w:rPr>
      </w:pPr>
      <w:r w:rsidRPr="00DF10D1">
        <w:rPr>
          <w:rFonts w:ascii="Times New Roman" w:hAnsi="Times New Roman"/>
          <w:b/>
          <w:sz w:val="24"/>
          <w:szCs w:val="24"/>
          <w:lang w:val="bg-BG" w:bidi="bg-BG"/>
        </w:rPr>
        <w:t>!!!Всички разходи, извършени от кандидата след 31.12.2029 г., не се изплащат от отпуснатата безвъзмездна финансова помощ и не подлежат на верификация, съответно възстановяване им следва да се реализира за сметка на кандидата.</w:t>
      </w:r>
    </w:p>
    <w:p w14:paraId="0D0E4018" w14:textId="77777777" w:rsidR="0026625D" w:rsidRPr="00DF10D1" w:rsidRDefault="0026625D" w:rsidP="0026625D">
      <w:pPr>
        <w:spacing w:before="120"/>
        <w:ind w:firstLine="708"/>
        <w:jc w:val="both"/>
        <w:rPr>
          <w:rFonts w:ascii="Times New Roman" w:hAnsi="Times New Roman"/>
          <w:sz w:val="24"/>
          <w:szCs w:val="24"/>
          <w:lang w:val="bg-BG" w:bidi="bg-BG"/>
        </w:rPr>
      </w:pPr>
    </w:p>
    <w:p w14:paraId="4D0D0CEF" w14:textId="77777777" w:rsidR="00BC40F9" w:rsidRPr="00DF10D1" w:rsidRDefault="00BC40F9" w:rsidP="0026625D">
      <w:pPr>
        <w:spacing w:before="120"/>
        <w:ind w:firstLine="708"/>
        <w:jc w:val="both"/>
        <w:rPr>
          <w:rFonts w:ascii="Times New Roman" w:hAnsi="Times New Roman"/>
          <w:sz w:val="24"/>
          <w:szCs w:val="24"/>
          <w:lang w:val="bg-BG" w:bidi="bg-BG"/>
        </w:rPr>
      </w:pPr>
    </w:p>
    <w:p w14:paraId="08B60B8A" w14:textId="3B4ED207" w:rsidR="00075821" w:rsidRPr="00DF10D1" w:rsidRDefault="00075821" w:rsidP="00703D1E">
      <w:pPr>
        <w:pStyle w:val="Heading1"/>
        <w:numPr>
          <w:ilvl w:val="0"/>
          <w:numId w:val="35"/>
        </w:numPr>
        <w:spacing w:before="120"/>
        <w:jc w:val="both"/>
        <w:rPr>
          <w:rStyle w:val="CommentReference"/>
          <w:rFonts w:ascii="Times New Roman" w:hAnsi="Times New Roman" w:cs="Times New Roman"/>
          <w:noProof/>
          <w:color w:val="auto"/>
          <w:sz w:val="24"/>
          <w:szCs w:val="24"/>
          <w:lang w:val="bg-BG"/>
        </w:rPr>
      </w:pPr>
      <w:r w:rsidRPr="00DF10D1">
        <w:rPr>
          <w:rStyle w:val="CommentReference"/>
          <w:rFonts w:ascii="Times New Roman" w:hAnsi="Times New Roman" w:cs="Times New Roman"/>
          <w:noProof/>
          <w:color w:val="auto"/>
          <w:sz w:val="24"/>
          <w:szCs w:val="24"/>
          <w:lang w:val="bg-BG"/>
        </w:rPr>
        <w:t>Натрупване</w:t>
      </w:r>
    </w:p>
    <w:p w14:paraId="4AE55106" w14:textId="2FC66FB5" w:rsidR="00075821" w:rsidRPr="00DF10D1" w:rsidRDefault="006B4556" w:rsidP="00703D1E">
      <w:pPr>
        <w:spacing w:before="120"/>
        <w:ind w:firstLine="360"/>
        <w:jc w:val="both"/>
        <w:rPr>
          <w:rStyle w:val="CommentReference"/>
          <w:rFonts w:ascii="Times New Roman" w:hAnsi="Times New Roman"/>
          <w:noProof/>
          <w:sz w:val="24"/>
          <w:szCs w:val="24"/>
          <w:lang w:val="bg-BG"/>
        </w:rPr>
      </w:pPr>
      <w:r w:rsidRPr="00DF10D1">
        <w:rPr>
          <w:rStyle w:val="CommentReference"/>
          <w:rFonts w:ascii="Times New Roman" w:hAnsi="Times New Roman"/>
          <w:noProof/>
          <w:sz w:val="24"/>
          <w:szCs w:val="24"/>
          <w:lang w:val="bg-BG"/>
        </w:rPr>
        <w:t>За да се установи, дали са спазени изискванията за максимален размер и интензитет на помощт</w:t>
      </w:r>
      <w:r w:rsidR="00EE49A6" w:rsidRPr="00DF10D1">
        <w:rPr>
          <w:rStyle w:val="CommentReference"/>
          <w:rFonts w:ascii="Times New Roman" w:hAnsi="Times New Roman"/>
          <w:noProof/>
          <w:sz w:val="24"/>
          <w:szCs w:val="24"/>
          <w:lang w:val="bg-BG"/>
        </w:rPr>
        <w:t xml:space="preserve">а в съответствие с чл. 4 и чл. </w:t>
      </w:r>
      <w:r w:rsidR="00541C9F" w:rsidRPr="00DF10D1">
        <w:rPr>
          <w:rStyle w:val="CommentReference"/>
          <w:rFonts w:ascii="Times New Roman" w:hAnsi="Times New Roman"/>
          <w:noProof/>
          <w:sz w:val="24"/>
          <w:szCs w:val="24"/>
          <w:lang w:val="bg-BG"/>
        </w:rPr>
        <w:t>36а</w:t>
      </w:r>
      <w:r w:rsidR="005959A9" w:rsidRPr="00DF10D1">
        <w:rPr>
          <w:rFonts w:ascii="Times New Roman" w:hAnsi="Times New Roman"/>
          <w:noProof/>
          <w:sz w:val="24"/>
          <w:szCs w:val="24"/>
          <w:lang w:val="bg-BG"/>
        </w:rPr>
        <w:t xml:space="preserve"> </w:t>
      </w:r>
      <w:r w:rsidR="005959A9" w:rsidRPr="00DF10D1">
        <w:rPr>
          <w:rFonts w:ascii="Times New Roman" w:hAnsi="Times New Roman"/>
          <w:b/>
          <w:noProof/>
          <w:sz w:val="24"/>
          <w:szCs w:val="24"/>
          <w:lang w:val="bg-BG"/>
        </w:rPr>
        <w:t>на Регламент (ЕС) № 651/2014 за обявяване на някои категории помощи за съвместими с вътрешния пазар в приложение на членове 107 и 108 от Договора</w:t>
      </w:r>
      <w:r w:rsidRPr="00DF10D1">
        <w:rPr>
          <w:rStyle w:val="CommentReference"/>
          <w:rFonts w:ascii="Times New Roman" w:hAnsi="Times New Roman"/>
          <w:noProof/>
          <w:sz w:val="24"/>
          <w:szCs w:val="24"/>
          <w:lang w:val="bg-BG"/>
        </w:rPr>
        <w:t>, се взема предвид общият размер на държавната помощ за подпомаганата дейност или подпомагания проект или предприятие</w:t>
      </w:r>
      <w:r w:rsidR="00C90178" w:rsidRPr="00DF10D1">
        <w:rPr>
          <w:rStyle w:val="CommentReference"/>
          <w:rFonts w:ascii="Times New Roman" w:hAnsi="Times New Roman"/>
          <w:noProof/>
          <w:sz w:val="24"/>
          <w:szCs w:val="24"/>
          <w:lang w:val="bg-BG"/>
        </w:rPr>
        <w:t>,</w:t>
      </w:r>
      <w:r w:rsidR="002E439B" w:rsidRPr="00DF10D1">
        <w:rPr>
          <w:rStyle w:val="CommentReference"/>
          <w:rFonts w:ascii="Times New Roman" w:hAnsi="Times New Roman"/>
          <w:noProof/>
          <w:sz w:val="24"/>
          <w:szCs w:val="24"/>
          <w:lang w:val="bg-BG"/>
        </w:rPr>
        <w:t xml:space="preserve"> за което се </w:t>
      </w:r>
      <w:r w:rsidR="00C90178" w:rsidRPr="00DF10D1">
        <w:rPr>
          <w:rStyle w:val="CommentReference"/>
          <w:rFonts w:ascii="Times New Roman" w:hAnsi="Times New Roman"/>
          <w:noProof/>
          <w:sz w:val="24"/>
          <w:szCs w:val="24"/>
          <w:lang w:val="bg-BG"/>
        </w:rPr>
        <w:t xml:space="preserve">прилага </w:t>
      </w:r>
      <w:r w:rsidR="00613615" w:rsidRPr="00DF10D1">
        <w:rPr>
          <w:rFonts w:ascii="Times New Roman" w:hAnsi="Times New Roman"/>
          <w:b/>
          <w:noProof/>
          <w:sz w:val="24"/>
          <w:szCs w:val="24"/>
          <w:lang w:val="bg-BG"/>
        </w:rPr>
        <w:t>ДЕКЛАРАЦИЯ ЗА ПОЛУЧЕНИ ДЪРЖАВНИ/МИНИМАЛНИ ПОМОЩИ</w:t>
      </w:r>
      <w:r w:rsidRPr="00DF10D1">
        <w:rPr>
          <w:rStyle w:val="CommentReference"/>
          <w:rFonts w:ascii="Times New Roman" w:hAnsi="Times New Roman"/>
          <w:noProof/>
          <w:sz w:val="24"/>
          <w:szCs w:val="24"/>
          <w:lang w:val="bg-BG"/>
        </w:rPr>
        <w:t>.</w:t>
      </w:r>
    </w:p>
    <w:p w14:paraId="5A622D3E" w14:textId="77777777" w:rsidR="006B4556" w:rsidRPr="00DF10D1" w:rsidRDefault="006B4556" w:rsidP="00703D1E">
      <w:pPr>
        <w:spacing w:before="120"/>
        <w:ind w:firstLine="360"/>
        <w:jc w:val="both"/>
        <w:rPr>
          <w:rStyle w:val="CommentReference"/>
          <w:rFonts w:ascii="Times New Roman" w:hAnsi="Times New Roman"/>
          <w:noProof/>
          <w:sz w:val="24"/>
          <w:szCs w:val="24"/>
          <w:lang w:val="bg-BG"/>
        </w:rPr>
      </w:pPr>
      <w:r w:rsidRPr="00DF10D1">
        <w:rPr>
          <w:rStyle w:val="CommentReference"/>
          <w:rFonts w:ascii="Times New Roman" w:hAnsi="Times New Roman"/>
          <w:noProof/>
          <w:sz w:val="24"/>
          <w:szCs w:val="24"/>
          <w:lang w:val="bg-BG"/>
        </w:rPr>
        <w:t xml:space="preserve">Помощите с установими допустими разходи, които са освободени от задължението за уведомяване по смисъла на </w:t>
      </w:r>
      <w:r w:rsidR="005959A9" w:rsidRPr="00DF10D1">
        <w:rPr>
          <w:rStyle w:val="CommentReference"/>
          <w:rFonts w:ascii="Times New Roman" w:hAnsi="Times New Roman"/>
          <w:noProof/>
          <w:sz w:val="24"/>
          <w:szCs w:val="24"/>
          <w:lang w:val="bg-BG"/>
        </w:rPr>
        <w:t>Регламент (ЕС) № 651/2014</w:t>
      </w:r>
      <w:r w:rsidRPr="00DF10D1">
        <w:rPr>
          <w:rStyle w:val="CommentReference"/>
          <w:rFonts w:ascii="Times New Roman" w:hAnsi="Times New Roman"/>
          <w:noProof/>
          <w:sz w:val="24"/>
          <w:szCs w:val="24"/>
          <w:lang w:val="bg-BG"/>
        </w:rPr>
        <w:t>, могат да се натрупват със:</w:t>
      </w:r>
    </w:p>
    <w:p w14:paraId="036E8A1B" w14:textId="77777777" w:rsidR="006B4556" w:rsidRPr="00DF10D1" w:rsidRDefault="006B4556" w:rsidP="00703D1E">
      <w:pPr>
        <w:spacing w:before="120"/>
        <w:jc w:val="both"/>
        <w:rPr>
          <w:rStyle w:val="CommentReference"/>
          <w:rFonts w:ascii="Times New Roman" w:hAnsi="Times New Roman"/>
          <w:noProof/>
          <w:sz w:val="24"/>
          <w:szCs w:val="24"/>
          <w:lang w:val="bg-BG"/>
        </w:rPr>
      </w:pPr>
      <w:r w:rsidRPr="00DF10D1">
        <w:rPr>
          <w:rStyle w:val="CommentReference"/>
          <w:rFonts w:ascii="Times New Roman" w:hAnsi="Times New Roman"/>
          <w:noProof/>
          <w:sz w:val="24"/>
          <w:szCs w:val="24"/>
          <w:lang w:val="bg-BG"/>
        </w:rPr>
        <w:t>а) всякаква друга държавна помощ, доколкото тези мерки засягат различни установими допустими разходи;</w:t>
      </w:r>
    </w:p>
    <w:p w14:paraId="42B4D479" w14:textId="77777777" w:rsidR="006B4556" w:rsidRPr="00DF10D1" w:rsidRDefault="006B4556" w:rsidP="00703D1E">
      <w:pPr>
        <w:spacing w:before="120"/>
        <w:jc w:val="both"/>
        <w:rPr>
          <w:rStyle w:val="CommentReference"/>
          <w:rFonts w:ascii="Times New Roman" w:hAnsi="Times New Roman"/>
          <w:noProof/>
          <w:sz w:val="24"/>
          <w:szCs w:val="24"/>
          <w:lang w:val="bg-BG"/>
        </w:rPr>
      </w:pPr>
      <w:r w:rsidRPr="00DF10D1">
        <w:rPr>
          <w:rStyle w:val="CommentReference"/>
          <w:rFonts w:ascii="Times New Roman" w:hAnsi="Times New Roman"/>
          <w:noProof/>
          <w:sz w:val="24"/>
          <w:szCs w:val="24"/>
          <w:lang w:val="bg-BG"/>
        </w:rPr>
        <w:t>б) всякаква друга държавна помощ във връзка със същите допустими разходи, които се припокриват частично или напълно, само ако това натрупване не води до надхвърляне на най-високия интензитет на помощта или най-високия размер на помощта, прило</w:t>
      </w:r>
      <w:r w:rsidR="00194109" w:rsidRPr="00DF10D1">
        <w:rPr>
          <w:rStyle w:val="CommentReference"/>
          <w:rFonts w:ascii="Times New Roman" w:hAnsi="Times New Roman"/>
          <w:noProof/>
          <w:sz w:val="24"/>
          <w:szCs w:val="24"/>
          <w:lang w:val="bg-BG"/>
        </w:rPr>
        <w:t xml:space="preserve">жими за тази помощ по силата </w:t>
      </w:r>
      <w:r w:rsidR="00B54BB2" w:rsidRPr="00DF10D1">
        <w:rPr>
          <w:rStyle w:val="CommentReference"/>
          <w:rFonts w:ascii="Times New Roman" w:hAnsi="Times New Roman"/>
          <w:noProof/>
          <w:sz w:val="24"/>
          <w:szCs w:val="24"/>
          <w:lang w:val="bg-BG"/>
        </w:rPr>
        <w:t>на Регламент (ЕС) № 651/2014</w:t>
      </w:r>
      <w:r w:rsidRPr="00DF10D1">
        <w:rPr>
          <w:rStyle w:val="CommentReference"/>
          <w:rFonts w:ascii="Times New Roman" w:hAnsi="Times New Roman"/>
          <w:noProof/>
          <w:sz w:val="24"/>
          <w:szCs w:val="24"/>
          <w:lang w:val="bg-BG"/>
        </w:rPr>
        <w:t>.</w:t>
      </w:r>
    </w:p>
    <w:p w14:paraId="2E47F54F" w14:textId="77777777" w:rsidR="006B4556" w:rsidRPr="00DF10D1" w:rsidRDefault="006B4556" w:rsidP="00703D1E">
      <w:pPr>
        <w:spacing w:before="120"/>
        <w:ind w:firstLine="360"/>
        <w:jc w:val="both"/>
        <w:rPr>
          <w:rStyle w:val="CommentReference"/>
          <w:rFonts w:ascii="Times New Roman" w:hAnsi="Times New Roman"/>
          <w:noProof/>
          <w:sz w:val="24"/>
          <w:szCs w:val="24"/>
          <w:lang w:val="bg-BG"/>
        </w:rPr>
      </w:pPr>
      <w:r w:rsidRPr="00DF10D1">
        <w:rPr>
          <w:rStyle w:val="CommentReference"/>
          <w:rFonts w:ascii="Times New Roman" w:hAnsi="Times New Roman"/>
          <w:noProof/>
          <w:sz w:val="24"/>
          <w:szCs w:val="24"/>
          <w:lang w:val="bg-BG"/>
        </w:rPr>
        <w:t>Помощите по настоя</w:t>
      </w:r>
      <w:r w:rsidR="00613615" w:rsidRPr="00DF10D1">
        <w:rPr>
          <w:rStyle w:val="CommentReference"/>
          <w:rFonts w:ascii="Times New Roman" w:hAnsi="Times New Roman"/>
          <w:noProof/>
          <w:sz w:val="24"/>
          <w:szCs w:val="24"/>
          <w:lang w:val="bg-BG"/>
        </w:rPr>
        <w:t xml:space="preserve">щите Условия </w:t>
      </w:r>
      <w:r w:rsidRPr="00DF10D1">
        <w:rPr>
          <w:rStyle w:val="CommentReference"/>
          <w:rFonts w:ascii="Times New Roman" w:hAnsi="Times New Roman"/>
          <w:noProof/>
          <w:sz w:val="24"/>
          <w:szCs w:val="24"/>
          <w:lang w:val="bg-BG"/>
        </w:rPr>
        <w:t xml:space="preserve">не могат да се натрупват с помощ de minimis по отношение на </w:t>
      </w:r>
      <w:r w:rsidRPr="00DF10D1">
        <w:rPr>
          <w:rStyle w:val="CommentReference"/>
          <w:rFonts w:ascii="Times New Roman" w:hAnsi="Times New Roman"/>
          <w:noProof/>
          <w:sz w:val="24"/>
          <w:szCs w:val="24"/>
          <w:u w:val="single"/>
          <w:lang w:val="bg-BG"/>
        </w:rPr>
        <w:t>същите допустими разходи</w:t>
      </w:r>
      <w:r w:rsidRPr="00DF10D1">
        <w:rPr>
          <w:rStyle w:val="CommentReference"/>
          <w:rFonts w:ascii="Times New Roman" w:hAnsi="Times New Roman"/>
          <w:noProof/>
          <w:sz w:val="24"/>
          <w:szCs w:val="24"/>
          <w:lang w:val="bg-BG"/>
        </w:rPr>
        <w:t xml:space="preserve">, ако това натрупване би довело до интензитет на помощта, надхвърлящ допустимия интензитет съгласно т. </w:t>
      </w:r>
      <w:r w:rsidR="00613615" w:rsidRPr="00DF10D1">
        <w:rPr>
          <w:rStyle w:val="CommentReference"/>
          <w:rFonts w:ascii="Times New Roman" w:hAnsi="Times New Roman"/>
          <w:noProof/>
          <w:sz w:val="24"/>
          <w:szCs w:val="24"/>
          <w:lang w:val="bg-BG"/>
        </w:rPr>
        <w:t>3</w:t>
      </w:r>
      <w:r w:rsidRPr="00DF10D1">
        <w:rPr>
          <w:rStyle w:val="CommentReference"/>
          <w:rFonts w:ascii="Times New Roman" w:hAnsi="Times New Roman"/>
          <w:noProof/>
          <w:sz w:val="24"/>
          <w:szCs w:val="24"/>
          <w:lang w:val="bg-BG"/>
        </w:rPr>
        <w:t xml:space="preserve"> по-горе.</w:t>
      </w:r>
    </w:p>
    <w:p w14:paraId="199A98E4" w14:textId="77777777" w:rsidR="00613615" w:rsidRPr="00DF10D1" w:rsidRDefault="00613615" w:rsidP="00703D1E">
      <w:pPr>
        <w:spacing w:before="120"/>
        <w:ind w:firstLine="360"/>
        <w:jc w:val="both"/>
        <w:rPr>
          <w:rStyle w:val="CommentReference"/>
          <w:rFonts w:ascii="Times New Roman" w:hAnsi="Times New Roman"/>
          <w:noProof/>
          <w:sz w:val="24"/>
          <w:szCs w:val="24"/>
          <w:lang w:val="bg-BG"/>
        </w:rPr>
      </w:pPr>
    </w:p>
    <w:p w14:paraId="5AE8175A" w14:textId="77777777" w:rsidR="00613615" w:rsidRPr="00DF10D1" w:rsidRDefault="00613615" w:rsidP="00613615">
      <w:pPr>
        <w:spacing w:before="120" w:after="120"/>
        <w:jc w:val="both"/>
        <w:rPr>
          <w:rFonts w:ascii="Times New Roman" w:eastAsia="Calibri" w:hAnsi="Times New Roman"/>
          <w:sz w:val="24"/>
          <w:szCs w:val="24"/>
          <w:lang w:val="bg-BG"/>
        </w:rPr>
      </w:pPr>
      <w:r w:rsidRPr="00DF10D1">
        <w:rPr>
          <w:rFonts w:ascii="Times New Roman" w:eastAsia="Calibri" w:hAnsi="Times New Roman"/>
          <w:sz w:val="24"/>
          <w:szCs w:val="24"/>
          <w:lang w:val="bg-BG"/>
        </w:rPr>
        <w:t xml:space="preserve">Данните за получени държавни помощи следва да бъдат надлежно посочени от кандидатите в </w:t>
      </w:r>
      <w:r w:rsidR="00A43AFB" w:rsidRPr="00DF10D1">
        <w:rPr>
          <w:rFonts w:ascii="Times New Roman" w:eastAsia="Calibri" w:hAnsi="Times New Roman"/>
          <w:b/>
          <w:sz w:val="24"/>
          <w:szCs w:val="24"/>
          <w:lang w:val="bg-BG"/>
        </w:rPr>
        <w:t xml:space="preserve">ДЕКЛАРАЦИЯ </w:t>
      </w:r>
      <w:r w:rsidRPr="00DF10D1">
        <w:rPr>
          <w:rFonts w:ascii="Times New Roman" w:eastAsia="Calibri" w:hAnsi="Times New Roman"/>
          <w:b/>
          <w:sz w:val="24"/>
          <w:szCs w:val="24"/>
          <w:lang w:val="bg-BG"/>
        </w:rPr>
        <w:t>ЗА ПОЛУЧЕНИ ДЪРЖАВНИ/МИНИМАЛНИ ПОМОЩИ</w:t>
      </w:r>
      <w:r w:rsidRPr="00DF10D1">
        <w:rPr>
          <w:rFonts w:ascii="Times New Roman" w:eastAsia="Calibri" w:hAnsi="Times New Roman"/>
          <w:sz w:val="24"/>
          <w:szCs w:val="24"/>
          <w:lang w:val="bg-BG"/>
        </w:rPr>
        <w:t xml:space="preserve">. Помощта се счита за получена от момента на сключване на договора за нейното предоставяне. В случай че след подаване на проектното предложение настъпи промяна по отношение на получената държавна помощ, кандидатът следва да уведоми писмено УО на ПРР и да изпрати нова Декларация за държавни помощи, с попълнени актуални данни в нея, в срок от 5 (пет) работни дни чрез модул „Комуникация с УО“ в </w:t>
      </w:r>
      <w:r w:rsidR="00A43AFB" w:rsidRPr="00DF10D1">
        <w:rPr>
          <w:rFonts w:ascii="Times New Roman" w:eastAsia="Calibri" w:hAnsi="Times New Roman"/>
          <w:sz w:val="24"/>
          <w:szCs w:val="24"/>
          <w:lang w:val="bg-BG"/>
        </w:rPr>
        <w:t>Информационната система за управление и наблюдение на средствата от Европейските фондове при споделено управление (ИСУН)</w:t>
      </w:r>
      <w:r w:rsidRPr="00DF10D1">
        <w:rPr>
          <w:rFonts w:ascii="Times New Roman" w:eastAsia="Calibri" w:hAnsi="Times New Roman"/>
          <w:sz w:val="24"/>
          <w:szCs w:val="24"/>
          <w:lang w:val="bg-BG"/>
        </w:rPr>
        <w:t>.</w:t>
      </w:r>
    </w:p>
    <w:p w14:paraId="14D4BE33" w14:textId="77777777" w:rsidR="00613615" w:rsidRPr="00DF10D1" w:rsidRDefault="00613615" w:rsidP="00613615">
      <w:pPr>
        <w:spacing w:before="120" w:after="120"/>
        <w:jc w:val="both"/>
        <w:rPr>
          <w:rFonts w:ascii="Times New Roman" w:eastAsia="Calibri" w:hAnsi="Times New Roman"/>
          <w:sz w:val="24"/>
          <w:szCs w:val="24"/>
          <w:lang w:val="bg-BG"/>
        </w:rPr>
      </w:pPr>
      <w:r w:rsidRPr="00DF10D1">
        <w:rPr>
          <w:rFonts w:ascii="Times New Roman" w:eastAsia="Calibri" w:hAnsi="Times New Roman"/>
          <w:sz w:val="24"/>
          <w:szCs w:val="24"/>
          <w:lang w:val="bg-BG"/>
        </w:rPr>
        <w:t>При определяне дали е спазен максимално допустимият размер и съответно интензитет на помощта, ще се взема предвид както размера на държавната/минималната помощ, за която се кандидатства, така и общият размер на вече получена държавна/минимална помощ за дейности, проект или предприятие (извън тези, за които се кандидатства), независимо от това дали тази подкрепа е финансирана от местни, регионални, национални или общностни източници.</w:t>
      </w:r>
    </w:p>
    <w:p w14:paraId="40917096" w14:textId="77777777" w:rsidR="0065363B" w:rsidRPr="00DF10D1" w:rsidRDefault="0065363B" w:rsidP="0065363B">
      <w:pPr>
        <w:spacing w:before="120" w:after="120"/>
        <w:jc w:val="both"/>
        <w:rPr>
          <w:rFonts w:ascii="Times New Roman" w:hAnsi="Times New Roman"/>
          <w:noProof/>
          <w:sz w:val="24"/>
          <w:szCs w:val="24"/>
          <w:lang w:val="bg-BG"/>
        </w:rPr>
      </w:pPr>
    </w:p>
    <w:p w14:paraId="2698FDF7" w14:textId="77777777" w:rsidR="0065363B" w:rsidRPr="00DF10D1" w:rsidRDefault="0065363B" w:rsidP="0065363B">
      <w:pPr>
        <w:pBdr>
          <w:top w:val="single" w:sz="4" w:space="1" w:color="auto"/>
          <w:left w:val="single" w:sz="4" w:space="4" w:color="auto"/>
          <w:bottom w:val="single" w:sz="4" w:space="1" w:color="auto"/>
          <w:right w:val="single" w:sz="4" w:space="4" w:color="auto"/>
        </w:pBdr>
        <w:jc w:val="both"/>
        <w:rPr>
          <w:rFonts w:ascii="Times New Roman" w:hAnsi="Times New Roman"/>
          <w:sz w:val="22"/>
          <w:szCs w:val="22"/>
          <w:lang w:val="bg-BG"/>
        </w:rPr>
      </w:pPr>
      <w:r w:rsidRPr="00DF10D1">
        <w:rPr>
          <w:rFonts w:ascii="Times New Roman" w:hAnsi="Times New Roman"/>
          <w:sz w:val="22"/>
          <w:szCs w:val="22"/>
          <w:lang w:val="bg-BG"/>
        </w:rPr>
        <w:t>ВАЖНО!</w:t>
      </w:r>
    </w:p>
    <w:p w14:paraId="5653AD8B" w14:textId="77777777" w:rsidR="0065363B" w:rsidRPr="00DF10D1" w:rsidRDefault="0065363B" w:rsidP="0065363B">
      <w:pPr>
        <w:pBdr>
          <w:top w:val="single" w:sz="4" w:space="1" w:color="auto"/>
          <w:left w:val="single" w:sz="4" w:space="4" w:color="auto"/>
          <w:bottom w:val="single" w:sz="4" w:space="1" w:color="auto"/>
          <w:right w:val="single" w:sz="4" w:space="4" w:color="auto"/>
        </w:pBdr>
        <w:jc w:val="both"/>
        <w:rPr>
          <w:rFonts w:ascii="Times New Roman" w:hAnsi="Times New Roman"/>
          <w:sz w:val="22"/>
          <w:szCs w:val="22"/>
          <w:lang w:val="bg-BG"/>
        </w:rPr>
      </w:pPr>
      <w:r w:rsidRPr="00DF10D1">
        <w:rPr>
          <w:rFonts w:ascii="Times New Roman" w:hAnsi="Times New Roman"/>
          <w:sz w:val="22"/>
          <w:szCs w:val="22"/>
          <w:lang w:val="bg-BG"/>
        </w:rPr>
        <w:t xml:space="preserve">Съгласно чл. 38 от Закона за държавните помощи възстановяването на неправомерна и несъвместима държавна помощ или на неправилно използвана държавна помощ се извършва въз основа на решение на Европейската комисия с разпореждане за възстановяване и влязъл в сила акт за установяване на публично вземане, когато това е приложимо. Съгласно чл. 37 от Закона за държавните помощи неправомерно получената минимална помощ представлява публично </w:t>
      </w:r>
      <w:r w:rsidRPr="00DF10D1">
        <w:rPr>
          <w:rFonts w:ascii="Times New Roman" w:hAnsi="Times New Roman"/>
          <w:sz w:val="22"/>
          <w:szCs w:val="22"/>
          <w:lang w:val="bg-BG"/>
        </w:rPr>
        <w:lastRenderedPageBreak/>
        <w:t>вземане, което се установява от администратора на помощ чрез издаване на акт за установяване на публичното вземане по реда на Административнопроцесуалния кодекс. Вземанията подлежат на събиране по реда на Данъчно-осигурителния процесуален кодекс (ДОПК) от органите на Националната агенция за приходите.</w:t>
      </w:r>
    </w:p>
    <w:p w14:paraId="63358BE7" w14:textId="77777777" w:rsidR="0065363B" w:rsidRPr="00DF10D1" w:rsidRDefault="0065363B" w:rsidP="0065363B">
      <w:pPr>
        <w:pBdr>
          <w:top w:val="single" w:sz="4" w:space="1" w:color="auto"/>
          <w:left w:val="single" w:sz="4" w:space="4" w:color="auto"/>
          <w:bottom w:val="single" w:sz="4" w:space="1" w:color="auto"/>
          <w:right w:val="single" w:sz="4" w:space="4" w:color="auto"/>
        </w:pBdr>
        <w:jc w:val="both"/>
        <w:rPr>
          <w:rFonts w:ascii="Times New Roman" w:hAnsi="Times New Roman"/>
          <w:sz w:val="22"/>
          <w:szCs w:val="22"/>
          <w:lang w:val="bg-BG"/>
        </w:rPr>
      </w:pPr>
      <w:r w:rsidRPr="00DF10D1">
        <w:rPr>
          <w:rFonts w:ascii="Times New Roman" w:hAnsi="Times New Roman"/>
          <w:sz w:val="22"/>
          <w:szCs w:val="22"/>
          <w:lang w:val="bg-BG"/>
        </w:rPr>
        <w:t>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верификация и счетоводно отчитане на разходите към момента на изпълнение на договорите за финансиране с бенефициентите.</w:t>
      </w:r>
    </w:p>
    <w:p w14:paraId="18451807" w14:textId="77777777" w:rsidR="0065363B" w:rsidRPr="00DF10D1" w:rsidRDefault="0065363B" w:rsidP="00703D1E">
      <w:pPr>
        <w:spacing w:before="120"/>
        <w:ind w:firstLine="360"/>
        <w:jc w:val="both"/>
        <w:rPr>
          <w:rStyle w:val="CommentReference"/>
          <w:rFonts w:ascii="Times New Roman" w:hAnsi="Times New Roman"/>
          <w:noProof/>
          <w:sz w:val="24"/>
          <w:szCs w:val="24"/>
          <w:lang w:val="bg-BG"/>
        </w:rPr>
      </w:pPr>
    </w:p>
    <w:p w14:paraId="2DB788BB" w14:textId="77777777" w:rsidR="0051709E" w:rsidRPr="00DF10D1" w:rsidRDefault="0049046B" w:rsidP="00703D1E">
      <w:pPr>
        <w:pStyle w:val="Heading1"/>
        <w:numPr>
          <w:ilvl w:val="0"/>
          <w:numId w:val="35"/>
        </w:numPr>
        <w:spacing w:before="120"/>
        <w:jc w:val="both"/>
        <w:rPr>
          <w:rStyle w:val="CommentReference"/>
          <w:rFonts w:ascii="Times New Roman" w:hAnsi="Times New Roman" w:cs="Times New Roman"/>
          <w:noProof/>
          <w:color w:val="auto"/>
          <w:sz w:val="24"/>
          <w:szCs w:val="24"/>
          <w:lang w:val="bg-BG"/>
        </w:rPr>
      </w:pPr>
      <w:r w:rsidRPr="00DF10D1">
        <w:rPr>
          <w:rStyle w:val="CommentReference"/>
          <w:rFonts w:ascii="Times New Roman" w:hAnsi="Times New Roman" w:cs="Times New Roman"/>
          <w:noProof/>
          <w:color w:val="auto"/>
          <w:sz w:val="24"/>
          <w:szCs w:val="24"/>
          <w:lang w:val="bg-BG"/>
        </w:rPr>
        <w:t>Други изисквания</w:t>
      </w:r>
      <w:r w:rsidR="004E6869" w:rsidRPr="00DF10D1">
        <w:rPr>
          <w:rStyle w:val="CommentReference"/>
          <w:rFonts w:ascii="Times New Roman" w:hAnsi="Times New Roman" w:cs="Times New Roman"/>
          <w:noProof/>
          <w:color w:val="auto"/>
          <w:sz w:val="24"/>
          <w:szCs w:val="24"/>
          <w:lang w:val="bg-BG"/>
        </w:rPr>
        <w:t xml:space="preserve"> и условия</w:t>
      </w:r>
    </w:p>
    <w:p w14:paraId="75052CA5" w14:textId="77777777" w:rsidR="00245BD9" w:rsidRPr="00DF10D1" w:rsidRDefault="0049046B" w:rsidP="00703D1E">
      <w:pPr>
        <w:spacing w:before="120"/>
        <w:ind w:firstLine="360"/>
        <w:jc w:val="both"/>
        <w:rPr>
          <w:rStyle w:val="CommentReference"/>
          <w:rFonts w:ascii="Times New Roman" w:hAnsi="Times New Roman"/>
          <w:noProof/>
          <w:sz w:val="24"/>
          <w:szCs w:val="24"/>
          <w:lang w:val="bg-BG"/>
        </w:rPr>
      </w:pPr>
      <w:r w:rsidRPr="00DF10D1">
        <w:rPr>
          <w:rStyle w:val="CommentReference"/>
          <w:rFonts w:ascii="Times New Roman" w:hAnsi="Times New Roman"/>
          <w:noProof/>
          <w:sz w:val="24"/>
          <w:szCs w:val="24"/>
          <w:lang w:val="bg-BG"/>
        </w:rPr>
        <w:t>В изпълнен</w:t>
      </w:r>
      <w:r w:rsidR="00194109" w:rsidRPr="00DF10D1">
        <w:rPr>
          <w:rStyle w:val="CommentReference"/>
          <w:rFonts w:ascii="Times New Roman" w:hAnsi="Times New Roman"/>
          <w:noProof/>
          <w:sz w:val="24"/>
          <w:szCs w:val="24"/>
          <w:lang w:val="bg-BG"/>
        </w:rPr>
        <w:t xml:space="preserve">ие на изискванията на чл. </w:t>
      </w:r>
      <w:r w:rsidR="00BB45E3" w:rsidRPr="00DF10D1">
        <w:rPr>
          <w:rStyle w:val="CommentReference"/>
          <w:rFonts w:ascii="Times New Roman" w:hAnsi="Times New Roman"/>
          <w:noProof/>
          <w:sz w:val="24"/>
          <w:szCs w:val="24"/>
          <w:lang w:val="bg-BG"/>
        </w:rPr>
        <w:t>9</w:t>
      </w:r>
      <w:r w:rsidR="00194109" w:rsidRPr="00DF10D1">
        <w:rPr>
          <w:rStyle w:val="CommentReference"/>
          <w:rFonts w:ascii="Times New Roman" w:hAnsi="Times New Roman"/>
          <w:noProof/>
          <w:sz w:val="24"/>
          <w:szCs w:val="24"/>
          <w:lang w:val="bg-BG"/>
        </w:rPr>
        <w:t xml:space="preserve"> </w:t>
      </w:r>
      <w:r w:rsidR="00B54BB2" w:rsidRPr="00DF10D1">
        <w:rPr>
          <w:rStyle w:val="CommentReference"/>
          <w:sz w:val="24"/>
          <w:szCs w:val="24"/>
          <w:lang w:val="bg-BG"/>
        </w:rPr>
        <w:t>на Регламент (ЕС) № 651/2014</w:t>
      </w:r>
      <w:r w:rsidRPr="00DF10D1">
        <w:rPr>
          <w:rStyle w:val="CommentReference"/>
          <w:rFonts w:ascii="Times New Roman" w:hAnsi="Times New Roman"/>
          <w:noProof/>
          <w:sz w:val="24"/>
          <w:szCs w:val="24"/>
          <w:lang w:val="bg-BG"/>
        </w:rPr>
        <w:t xml:space="preserve">, а именно информацията, посочена в приложение III на Регламента да бъде въвеждана в модула за прозрачност на ЕК за всяка предоставена индивидуална помощ по схемата, надхвърляща </w:t>
      </w:r>
      <w:r w:rsidR="00B54BB2" w:rsidRPr="00DF10D1">
        <w:rPr>
          <w:rStyle w:val="CommentReference"/>
          <w:rFonts w:ascii="Times New Roman" w:hAnsi="Times New Roman"/>
          <w:noProof/>
          <w:sz w:val="24"/>
          <w:szCs w:val="24"/>
          <w:lang w:val="bg-BG"/>
        </w:rPr>
        <w:t xml:space="preserve">100 </w:t>
      </w:r>
      <w:r w:rsidRPr="00DF10D1">
        <w:rPr>
          <w:rStyle w:val="CommentReference"/>
          <w:rFonts w:ascii="Times New Roman" w:hAnsi="Times New Roman"/>
          <w:noProof/>
          <w:sz w:val="24"/>
          <w:szCs w:val="24"/>
          <w:lang w:val="bg-BG"/>
        </w:rPr>
        <w:t xml:space="preserve">000 евро. </w:t>
      </w:r>
      <w:r w:rsidR="004E6869" w:rsidRPr="00DF10D1">
        <w:rPr>
          <w:rStyle w:val="CommentReference"/>
          <w:rFonts w:ascii="Times New Roman" w:hAnsi="Times New Roman"/>
          <w:noProof/>
          <w:sz w:val="24"/>
          <w:szCs w:val="24"/>
          <w:lang w:val="bg-BG"/>
        </w:rPr>
        <w:t xml:space="preserve">В тази връзка в случаите, в които общата стойност на отпуснатата помощ надхвърля </w:t>
      </w:r>
      <w:r w:rsidR="00B54BB2" w:rsidRPr="00DF10D1">
        <w:rPr>
          <w:rStyle w:val="CommentReference"/>
          <w:rFonts w:ascii="Times New Roman" w:hAnsi="Times New Roman"/>
          <w:noProof/>
          <w:sz w:val="24"/>
          <w:szCs w:val="24"/>
          <w:lang w:val="bg-BG"/>
        </w:rPr>
        <w:t>1</w:t>
      </w:r>
      <w:r w:rsidR="004E6869" w:rsidRPr="00DF10D1">
        <w:rPr>
          <w:rStyle w:val="CommentReference"/>
          <w:rFonts w:ascii="Times New Roman" w:hAnsi="Times New Roman"/>
          <w:noProof/>
          <w:sz w:val="24"/>
          <w:szCs w:val="24"/>
          <w:lang w:val="bg-BG"/>
        </w:rPr>
        <w:t xml:space="preserve">00 000 евро, </w:t>
      </w:r>
      <w:r w:rsidR="00613615" w:rsidRPr="00DF10D1">
        <w:rPr>
          <w:rStyle w:val="CommentReference"/>
          <w:rFonts w:ascii="Times New Roman" w:hAnsi="Times New Roman"/>
          <w:noProof/>
          <w:sz w:val="24"/>
          <w:szCs w:val="24"/>
          <w:lang w:val="bg-BG"/>
        </w:rPr>
        <w:t>УО</w:t>
      </w:r>
      <w:r w:rsidR="004E6869" w:rsidRPr="00DF10D1">
        <w:rPr>
          <w:rStyle w:val="CommentReference"/>
          <w:rFonts w:ascii="Times New Roman" w:hAnsi="Times New Roman"/>
          <w:noProof/>
          <w:sz w:val="24"/>
          <w:szCs w:val="24"/>
          <w:lang w:val="bg-BG"/>
        </w:rPr>
        <w:t xml:space="preserve"> ще въвежда информацията в модула за прозрачност на ЕК. </w:t>
      </w:r>
    </w:p>
    <w:p w14:paraId="628EB76A" w14:textId="77777777" w:rsidR="00245BD9" w:rsidRPr="00DF10D1" w:rsidRDefault="00BB45E3" w:rsidP="00703D1E">
      <w:pPr>
        <w:spacing w:before="120"/>
        <w:ind w:firstLine="360"/>
        <w:jc w:val="both"/>
        <w:rPr>
          <w:rStyle w:val="CommentReference"/>
          <w:rFonts w:ascii="Times New Roman" w:hAnsi="Times New Roman"/>
          <w:noProof/>
          <w:sz w:val="24"/>
          <w:szCs w:val="24"/>
          <w:lang w:val="bg-BG"/>
        </w:rPr>
      </w:pPr>
      <w:r w:rsidRPr="00DF10D1">
        <w:rPr>
          <w:rStyle w:val="CommentReference"/>
          <w:rFonts w:ascii="Times New Roman" w:hAnsi="Times New Roman"/>
          <w:noProof/>
          <w:sz w:val="24"/>
          <w:szCs w:val="24"/>
          <w:lang w:val="bg-BG"/>
        </w:rPr>
        <w:t>УО</w:t>
      </w:r>
      <w:r w:rsidR="0048079D" w:rsidRPr="00DF10D1">
        <w:rPr>
          <w:rStyle w:val="CommentReference"/>
          <w:rFonts w:ascii="Times New Roman" w:hAnsi="Times New Roman"/>
          <w:noProof/>
          <w:sz w:val="24"/>
          <w:szCs w:val="24"/>
          <w:lang w:val="bg-BG"/>
        </w:rPr>
        <w:t xml:space="preserve"> се задължават да осигурят изпълнението на всички изисквания на настоящ</w:t>
      </w:r>
      <w:r w:rsidR="0065363B" w:rsidRPr="00DF10D1">
        <w:rPr>
          <w:rStyle w:val="CommentReference"/>
          <w:rFonts w:ascii="Times New Roman" w:hAnsi="Times New Roman"/>
          <w:noProof/>
          <w:sz w:val="24"/>
          <w:szCs w:val="24"/>
          <w:lang w:val="bg-BG"/>
        </w:rPr>
        <w:t>ите Условия</w:t>
      </w:r>
      <w:r w:rsidR="0048079D" w:rsidRPr="00DF10D1">
        <w:rPr>
          <w:rStyle w:val="CommentReference"/>
          <w:rFonts w:ascii="Times New Roman" w:hAnsi="Times New Roman"/>
          <w:noProof/>
          <w:sz w:val="24"/>
          <w:szCs w:val="24"/>
          <w:lang w:val="bg-BG"/>
        </w:rPr>
        <w:t xml:space="preserve">, както и да въведат подходящи контролни механизми, с които да гарантират </w:t>
      </w:r>
      <w:r w:rsidR="00E026AF" w:rsidRPr="00DF10D1">
        <w:rPr>
          <w:rStyle w:val="CommentReference"/>
          <w:rFonts w:ascii="Times New Roman" w:hAnsi="Times New Roman"/>
          <w:noProof/>
          <w:sz w:val="24"/>
          <w:szCs w:val="24"/>
          <w:lang w:val="bg-BG"/>
        </w:rPr>
        <w:t>изпълнението</w:t>
      </w:r>
      <w:r w:rsidRPr="00DF10D1">
        <w:rPr>
          <w:rStyle w:val="CommentReference"/>
          <w:rFonts w:ascii="Times New Roman" w:hAnsi="Times New Roman"/>
          <w:noProof/>
          <w:sz w:val="24"/>
          <w:szCs w:val="24"/>
          <w:lang w:val="bg-BG"/>
        </w:rPr>
        <w:t xml:space="preserve"> на тези изисквания</w:t>
      </w:r>
      <w:r w:rsidR="0048079D" w:rsidRPr="00DF10D1">
        <w:rPr>
          <w:rStyle w:val="CommentReference"/>
          <w:rFonts w:ascii="Times New Roman" w:hAnsi="Times New Roman"/>
          <w:noProof/>
          <w:sz w:val="24"/>
          <w:szCs w:val="24"/>
          <w:lang w:val="bg-BG"/>
        </w:rPr>
        <w:t>.</w:t>
      </w:r>
    </w:p>
    <w:p w14:paraId="181F58EB" w14:textId="77777777" w:rsidR="0065363B" w:rsidRPr="00DF10D1" w:rsidRDefault="0065363B" w:rsidP="0065363B">
      <w:pPr>
        <w:spacing w:before="120"/>
        <w:jc w:val="both"/>
        <w:rPr>
          <w:rFonts w:ascii="Times New Roman" w:hAnsi="Times New Roman"/>
          <w:noProof/>
          <w:sz w:val="24"/>
          <w:szCs w:val="24"/>
          <w:lang w:val="bg-BG"/>
        </w:rPr>
      </w:pPr>
      <w:r w:rsidRPr="00DF10D1">
        <w:rPr>
          <w:rFonts w:ascii="Times New Roman" w:hAnsi="Times New Roman"/>
          <w:noProof/>
          <w:sz w:val="24"/>
          <w:szCs w:val="24"/>
          <w:lang w:val="bg-BG"/>
        </w:rPr>
        <w:t>Всеки договор за предоставяне на безвъзмездна финансова помощ, които включва  помощ по настоящите Условия, представлява индивидуална помощ по смисъла на чл. 2, пар. 14, буква ii) от Регламент на Комисията (ЕС) № 651/2014.</w:t>
      </w:r>
    </w:p>
    <w:p w14:paraId="05A2E912" w14:textId="77777777" w:rsidR="0065363B" w:rsidRPr="00DF10D1" w:rsidRDefault="0065363B" w:rsidP="0065363B">
      <w:pPr>
        <w:spacing w:before="120"/>
        <w:jc w:val="both"/>
        <w:rPr>
          <w:rFonts w:ascii="Times New Roman" w:hAnsi="Times New Roman"/>
          <w:b/>
          <w:noProof/>
          <w:sz w:val="24"/>
          <w:szCs w:val="24"/>
          <w:lang w:val="bg-BG"/>
        </w:rPr>
      </w:pPr>
      <w:r w:rsidRPr="00DF10D1">
        <w:rPr>
          <w:rFonts w:ascii="Times New Roman" w:hAnsi="Times New Roman"/>
          <w:b/>
          <w:noProof/>
          <w:sz w:val="24"/>
          <w:szCs w:val="24"/>
          <w:lang w:val="bg-BG"/>
        </w:rPr>
        <w:t>Важно!</w:t>
      </w:r>
    </w:p>
    <w:p w14:paraId="55D405C5" w14:textId="77777777" w:rsidR="0065363B" w:rsidRPr="00DF10D1" w:rsidRDefault="0065363B" w:rsidP="0065363B">
      <w:pPr>
        <w:spacing w:before="120"/>
        <w:jc w:val="both"/>
        <w:rPr>
          <w:rFonts w:ascii="Times New Roman" w:hAnsi="Times New Roman"/>
          <w:b/>
          <w:noProof/>
          <w:sz w:val="24"/>
          <w:szCs w:val="24"/>
          <w:lang w:val="bg-BG"/>
        </w:rPr>
      </w:pPr>
      <w:r w:rsidRPr="00DF10D1">
        <w:rPr>
          <w:rFonts w:ascii="Times New Roman" w:hAnsi="Times New Roman"/>
          <w:b/>
          <w:noProof/>
          <w:sz w:val="24"/>
          <w:szCs w:val="24"/>
          <w:lang w:val="bg-BG"/>
        </w:rPr>
        <w:t xml:space="preserve">УО на ПРР в МРРБ поема задължение да съхранява подробна документация, съдържаща информацията и придружаващата документация, които са необходими, за да се установи спазването на всички условия, определени в Регламент (ЕС) № 651/2014, за период от 10 години от датата на предоставянето на последната помощ по схемата. </w:t>
      </w:r>
    </w:p>
    <w:p w14:paraId="41EE332E" w14:textId="77777777" w:rsidR="0065363B" w:rsidRPr="00DF10D1" w:rsidRDefault="0065363B" w:rsidP="0065363B">
      <w:pPr>
        <w:spacing w:before="120"/>
        <w:jc w:val="both"/>
        <w:rPr>
          <w:rFonts w:ascii="Times New Roman" w:hAnsi="Times New Roman"/>
          <w:b/>
          <w:bCs/>
          <w:iCs/>
          <w:noProof/>
          <w:sz w:val="24"/>
          <w:szCs w:val="24"/>
          <w:lang w:val="bg-BG"/>
        </w:rPr>
      </w:pPr>
      <w:r w:rsidRPr="00DF10D1">
        <w:rPr>
          <w:rFonts w:ascii="Times New Roman" w:hAnsi="Times New Roman"/>
          <w:b/>
          <w:bCs/>
          <w:iCs/>
          <w:noProof/>
          <w:sz w:val="24"/>
          <w:szCs w:val="24"/>
          <w:lang w:val="bg-BG"/>
        </w:rPr>
        <w:t>Във връзка с изпълнението на условието на чл. 12, пар. 1 от Регламент (ЕС) № 651/2014, МРРБ  документира и събира цялата информация, относно извършваните от него проверки при прилагането на Регламента, включително проверката на декларираната от кандидатите информация. Документация от извършените проверки се съхранява за период от 10 бюджетни години от датата, на която е предоставена последната индивидуална помощ по настоящите Условия.</w:t>
      </w:r>
    </w:p>
    <w:p w14:paraId="6A2E32AA" w14:textId="77777777" w:rsidR="00557BC6" w:rsidRPr="00DF10D1" w:rsidRDefault="00557BC6" w:rsidP="0065363B">
      <w:pPr>
        <w:spacing w:before="120"/>
        <w:jc w:val="both"/>
        <w:rPr>
          <w:rStyle w:val="CommentReference"/>
          <w:rFonts w:ascii="Times New Roman" w:hAnsi="Times New Roman"/>
          <w:noProof/>
          <w:sz w:val="24"/>
          <w:szCs w:val="24"/>
          <w:lang w:val="bg-BG"/>
        </w:rPr>
      </w:pPr>
    </w:p>
    <w:sectPr w:rsidR="00557BC6" w:rsidRPr="00DF10D1" w:rsidSect="00A15F26">
      <w:headerReference w:type="even" r:id="rId8"/>
      <w:headerReference w:type="default" r:id="rId9"/>
      <w:footerReference w:type="even" r:id="rId10"/>
      <w:footerReference w:type="default" r:id="rId11"/>
      <w:headerReference w:type="first" r:id="rId12"/>
      <w:footerReference w:type="first" r:id="rId13"/>
      <w:pgSz w:w="11906" w:h="16838"/>
      <w:pgMar w:top="212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655B89" w14:textId="77777777" w:rsidR="003433A6" w:rsidRDefault="003433A6" w:rsidP="0025390F">
      <w:r>
        <w:separator/>
      </w:r>
    </w:p>
  </w:endnote>
  <w:endnote w:type="continuationSeparator" w:id="0">
    <w:p w14:paraId="2F56356A" w14:textId="77777777" w:rsidR="003433A6" w:rsidRDefault="003433A6" w:rsidP="00253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5EF4" w14:textId="77777777" w:rsidR="00E60141" w:rsidRDefault="00E601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089715"/>
      <w:docPartObj>
        <w:docPartGallery w:val="Page Numbers (Bottom of Page)"/>
        <w:docPartUnique/>
      </w:docPartObj>
    </w:sdtPr>
    <w:sdtEndPr/>
    <w:sdtContent>
      <w:p w14:paraId="74763F8A" w14:textId="77777777" w:rsidR="00E613C2" w:rsidRPr="00A15F26" w:rsidRDefault="00E613C2" w:rsidP="0077729B">
        <w:pPr>
          <w:pStyle w:val="Footer"/>
          <w:pBdr>
            <w:top w:val="single" w:sz="4" w:space="1" w:color="auto"/>
          </w:pBdr>
          <w:jc w:val="center"/>
          <w:rPr>
            <w:rFonts w:ascii="Times New Roman" w:hAnsi="Times New Roman"/>
            <w:sz w:val="2"/>
            <w:szCs w:val="2"/>
          </w:rPr>
        </w:pPr>
      </w:p>
      <w:tbl>
        <w:tblPr>
          <w:tblW w:w="0" w:type="auto"/>
          <w:tblLook w:val="04A0" w:firstRow="1" w:lastRow="0" w:firstColumn="1" w:lastColumn="0" w:noHBand="0" w:noVBand="1"/>
        </w:tblPr>
        <w:tblGrid>
          <w:gridCol w:w="8397"/>
          <w:gridCol w:w="675"/>
        </w:tblGrid>
        <w:tr w:rsidR="00E613C2" w:rsidRPr="008E52C2" w14:paraId="10CAC2DB" w14:textId="77777777" w:rsidTr="009C1720">
          <w:tc>
            <w:tcPr>
              <w:tcW w:w="9180" w:type="dxa"/>
              <w:shd w:val="clear" w:color="auto" w:fill="auto"/>
              <w:vAlign w:val="center"/>
            </w:tcPr>
            <w:p w14:paraId="7770845F" w14:textId="77777777" w:rsidR="00E613C2" w:rsidRPr="008E52C2" w:rsidRDefault="00E613C2" w:rsidP="0077729B">
              <w:pPr>
                <w:pStyle w:val="Footer"/>
                <w:jc w:val="center"/>
                <w:rPr>
                  <w:rFonts w:ascii="Times New Roman" w:hAnsi="Times New Roman"/>
                  <w:i/>
                </w:rPr>
              </w:pPr>
            </w:p>
          </w:tc>
          <w:tc>
            <w:tcPr>
              <w:tcW w:w="709" w:type="dxa"/>
              <w:shd w:val="clear" w:color="auto" w:fill="auto"/>
              <w:vAlign w:val="center"/>
            </w:tcPr>
            <w:p w14:paraId="32931870" w14:textId="0E72AF60" w:rsidR="00E613C2" w:rsidRPr="008E52C2" w:rsidRDefault="00E613C2" w:rsidP="0077729B">
              <w:pPr>
                <w:pStyle w:val="Footer"/>
                <w:jc w:val="center"/>
                <w:rPr>
                  <w:rFonts w:ascii="Times New Roman" w:hAnsi="Times New Roman"/>
                  <w:lang w:val="en-US"/>
                </w:rPr>
              </w:pPr>
              <w:r w:rsidRPr="008E52C2">
                <w:rPr>
                  <w:rFonts w:ascii="Times New Roman" w:hAnsi="Times New Roman"/>
                </w:rPr>
                <w:fldChar w:fldCharType="begin"/>
              </w:r>
              <w:r w:rsidRPr="008E52C2">
                <w:rPr>
                  <w:rFonts w:ascii="Times New Roman" w:hAnsi="Times New Roman"/>
                </w:rPr>
                <w:instrText xml:space="preserve"> PAGE   \* MERGEFORMAT </w:instrText>
              </w:r>
              <w:r w:rsidRPr="008E52C2">
                <w:rPr>
                  <w:rFonts w:ascii="Times New Roman" w:hAnsi="Times New Roman"/>
                </w:rPr>
                <w:fldChar w:fldCharType="separate"/>
              </w:r>
              <w:r w:rsidR="00E60141">
                <w:rPr>
                  <w:rFonts w:ascii="Times New Roman" w:hAnsi="Times New Roman"/>
                  <w:noProof/>
                </w:rPr>
                <w:t>1</w:t>
              </w:r>
              <w:r w:rsidRPr="008E52C2">
                <w:rPr>
                  <w:rFonts w:ascii="Times New Roman" w:hAnsi="Times New Roman"/>
                  <w:noProof/>
                </w:rPr>
                <w:fldChar w:fldCharType="end"/>
              </w:r>
            </w:p>
            <w:p w14:paraId="501D5821" w14:textId="77777777" w:rsidR="00E613C2" w:rsidRPr="008E52C2" w:rsidRDefault="00E613C2" w:rsidP="0077729B">
              <w:pPr>
                <w:pStyle w:val="Footer"/>
                <w:jc w:val="center"/>
                <w:rPr>
                  <w:rFonts w:ascii="Times New Roman" w:hAnsi="Times New Roman"/>
                </w:rPr>
              </w:pPr>
            </w:p>
          </w:tc>
        </w:tr>
      </w:tbl>
      <w:p w14:paraId="4DA20F5E" w14:textId="77777777" w:rsidR="00E613C2" w:rsidRPr="009C1720" w:rsidRDefault="003433A6" w:rsidP="009C1720">
        <w:pPr>
          <w:pStyle w:val="Footer"/>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6100D" w14:textId="77777777" w:rsidR="00E60141" w:rsidRDefault="00E601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31EFC" w14:textId="77777777" w:rsidR="003433A6" w:rsidRDefault="003433A6" w:rsidP="0025390F">
      <w:r>
        <w:separator/>
      </w:r>
    </w:p>
  </w:footnote>
  <w:footnote w:type="continuationSeparator" w:id="0">
    <w:p w14:paraId="1CBA6D32" w14:textId="77777777" w:rsidR="003433A6" w:rsidRDefault="003433A6" w:rsidP="0025390F">
      <w:r>
        <w:continuationSeparator/>
      </w:r>
    </w:p>
  </w:footnote>
  <w:footnote w:id="1">
    <w:p w14:paraId="58FD8AFA" w14:textId="77777777" w:rsidR="00B537B2" w:rsidRPr="00B537B2" w:rsidRDefault="00B537B2" w:rsidP="00B537B2">
      <w:pPr>
        <w:pStyle w:val="FootnoteText"/>
        <w:jc w:val="both"/>
        <w:rPr>
          <w:lang w:val="bg-BG"/>
        </w:rPr>
      </w:pPr>
      <w:r>
        <w:rPr>
          <w:rStyle w:val="FootnoteReference"/>
        </w:rPr>
        <w:footnoteRef/>
      </w:r>
      <w:r>
        <w:t xml:space="preserve"> </w:t>
      </w:r>
      <w:proofErr w:type="spellStart"/>
      <w:r w:rsidRPr="00B537B2">
        <w:rPr>
          <w:rFonts w:ascii="Times New Roman" w:hAnsi="Times New Roman"/>
        </w:rPr>
        <w:t>Решение</w:t>
      </w:r>
      <w:proofErr w:type="spellEnd"/>
      <w:r w:rsidRPr="00B537B2">
        <w:rPr>
          <w:rFonts w:ascii="Times New Roman" w:hAnsi="Times New Roman"/>
        </w:rPr>
        <w:t xml:space="preserve"> 2010/787/ЕС </w:t>
      </w:r>
      <w:proofErr w:type="spellStart"/>
      <w:r w:rsidRPr="00B537B2">
        <w:rPr>
          <w:rFonts w:ascii="Times New Roman" w:hAnsi="Times New Roman"/>
        </w:rPr>
        <w:t>на</w:t>
      </w:r>
      <w:proofErr w:type="spellEnd"/>
      <w:r w:rsidRPr="00B537B2">
        <w:rPr>
          <w:rFonts w:ascii="Times New Roman" w:hAnsi="Times New Roman"/>
        </w:rPr>
        <w:t xml:space="preserve"> </w:t>
      </w:r>
      <w:proofErr w:type="spellStart"/>
      <w:r w:rsidRPr="00B537B2">
        <w:rPr>
          <w:rFonts w:ascii="Times New Roman" w:hAnsi="Times New Roman"/>
        </w:rPr>
        <w:t>Съвета</w:t>
      </w:r>
      <w:proofErr w:type="spellEnd"/>
      <w:r w:rsidRPr="00B537B2">
        <w:rPr>
          <w:rFonts w:ascii="Times New Roman" w:hAnsi="Times New Roman"/>
        </w:rPr>
        <w:t xml:space="preserve"> </w:t>
      </w:r>
      <w:proofErr w:type="spellStart"/>
      <w:r w:rsidRPr="00B537B2">
        <w:rPr>
          <w:rFonts w:ascii="Times New Roman" w:hAnsi="Times New Roman"/>
        </w:rPr>
        <w:t>от</w:t>
      </w:r>
      <w:proofErr w:type="spellEnd"/>
      <w:r w:rsidRPr="00B537B2">
        <w:rPr>
          <w:rFonts w:ascii="Times New Roman" w:hAnsi="Times New Roman"/>
        </w:rPr>
        <w:t xml:space="preserve"> 10 </w:t>
      </w:r>
      <w:proofErr w:type="spellStart"/>
      <w:r w:rsidRPr="00B537B2">
        <w:rPr>
          <w:rFonts w:ascii="Times New Roman" w:hAnsi="Times New Roman"/>
        </w:rPr>
        <w:t>декември</w:t>
      </w:r>
      <w:proofErr w:type="spellEnd"/>
      <w:r w:rsidRPr="00B537B2">
        <w:rPr>
          <w:rFonts w:ascii="Times New Roman" w:hAnsi="Times New Roman"/>
        </w:rPr>
        <w:t xml:space="preserve"> 2010 г. </w:t>
      </w:r>
      <w:proofErr w:type="spellStart"/>
      <w:r w:rsidRPr="00B537B2">
        <w:rPr>
          <w:rFonts w:ascii="Times New Roman" w:hAnsi="Times New Roman"/>
        </w:rPr>
        <w:t>относно</w:t>
      </w:r>
      <w:proofErr w:type="spellEnd"/>
      <w:r w:rsidRPr="00B537B2">
        <w:rPr>
          <w:rFonts w:ascii="Times New Roman" w:hAnsi="Times New Roman"/>
        </w:rPr>
        <w:t xml:space="preserve"> </w:t>
      </w:r>
      <w:proofErr w:type="spellStart"/>
      <w:r w:rsidRPr="00B537B2">
        <w:rPr>
          <w:rFonts w:ascii="Times New Roman" w:hAnsi="Times New Roman"/>
        </w:rPr>
        <w:t>държавната</w:t>
      </w:r>
      <w:proofErr w:type="spellEnd"/>
      <w:r w:rsidRPr="00B537B2">
        <w:rPr>
          <w:rFonts w:ascii="Times New Roman" w:hAnsi="Times New Roman"/>
        </w:rPr>
        <w:t xml:space="preserve"> </w:t>
      </w:r>
      <w:proofErr w:type="spellStart"/>
      <w:r w:rsidRPr="00B537B2">
        <w:rPr>
          <w:rFonts w:ascii="Times New Roman" w:hAnsi="Times New Roman"/>
        </w:rPr>
        <w:t>помощ</w:t>
      </w:r>
      <w:proofErr w:type="spellEnd"/>
      <w:r w:rsidRPr="00B537B2">
        <w:rPr>
          <w:rFonts w:ascii="Times New Roman" w:hAnsi="Times New Roman"/>
        </w:rPr>
        <w:t xml:space="preserve"> </w:t>
      </w:r>
      <w:proofErr w:type="spellStart"/>
      <w:r w:rsidRPr="00B537B2">
        <w:rPr>
          <w:rFonts w:ascii="Times New Roman" w:hAnsi="Times New Roman"/>
        </w:rPr>
        <w:t>за</w:t>
      </w:r>
      <w:proofErr w:type="spellEnd"/>
      <w:r w:rsidRPr="00B537B2">
        <w:rPr>
          <w:rFonts w:ascii="Times New Roman" w:hAnsi="Times New Roman"/>
        </w:rPr>
        <w:t xml:space="preserve"> </w:t>
      </w:r>
      <w:proofErr w:type="spellStart"/>
      <w:r w:rsidRPr="00B537B2">
        <w:rPr>
          <w:rFonts w:ascii="Times New Roman" w:hAnsi="Times New Roman"/>
        </w:rPr>
        <w:t>улесняване</w:t>
      </w:r>
      <w:proofErr w:type="spellEnd"/>
      <w:r w:rsidRPr="00B537B2">
        <w:rPr>
          <w:rFonts w:ascii="Times New Roman" w:hAnsi="Times New Roman"/>
        </w:rPr>
        <w:t xml:space="preserve"> </w:t>
      </w:r>
      <w:proofErr w:type="spellStart"/>
      <w:r w:rsidRPr="00B537B2">
        <w:rPr>
          <w:rFonts w:ascii="Times New Roman" w:hAnsi="Times New Roman"/>
        </w:rPr>
        <w:t>на</w:t>
      </w:r>
      <w:proofErr w:type="spellEnd"/>
      <w:r w:rsidRPr="00B537B2">
        <w:rPr>
          <w:rFonts w:ascii="Times New Roman" w:hAnsi="Times New Roman"/>
        </w:rPr>
        <w:t xml:space="preserve"> </w:t>
      </w:r>
      <w:proofErr w:type="spellStart"/>
      <w:r w:rsidRPr="00B537B2">
        <w:rPr>
          <w:rFonts w:ascii="Times New Roman" w:hAnsi="Times New Roman"/>
        </w:rPr>
        <w:t>закриването</w:t>
      </w:r>
      <w:proofErr w:type="spellEnd"/>
      <w:r w:rsidRPr="00B537B2">
        <w:rPr>
          <w:rFonts w:ascii="Times New Roman" w:hAnsi="Times New Roman"/>
        </w:rPr>
        <w:t xml:space="preserve"> </w:t>
      </w:r>
      <w:proofErr w:type="spellStart"/>
      <w:r w:rsidRPr="00B537B2">
        <w:rPr>
          <w:rFonts w:ascii="Times New Roman" w:hAnsi="Times New Roman"/>
        </w:rPr>
        <w:t>на</w:t>
      </w:r>
      <w:proofErr w:type="spellEnd"/>
      <w:r w:rsidRPr="00B537B2">
        <w:rPr>
          <w:rFonts w:ascii="Times New Roman" w:hAnsi="Times New Roman"/>
        </w:rPr>
        <w:t xml:space="preserve"> </w:t>
      </w:r>
      <w:proofErr w:type="spellStart"/>
      <w:r w:rsidRPr="00B537B2">
        <w:rPr>
          <w:rFonts w:ascii="Times New Roman" w:hAnsi="Times New Roman"/>
        </w:rPr>
        <w:t>неконкурентоспособни</w:t>
      </w:r>
      <w:proofErr w:type="spellEnd"/>
      <w:r w:rsidRPr="00B537B2">
        <w:rPr>
          <w:rFonts w:ascii="Times New Roman" w:hAnsi="Times New Roman"/>
        </w:rPr>
        <w:t xml:space="preserve"> </w:t>
      </w:r>
      <w:proofErr w:type="spellStart"/>
      <w:r w:rsidRPr="00B537B2">
        <w:rPr>
          <w:rFonts w:ascii="Times New Roman" w:hAnsi="Times New Roman"/>
        </w:rPr>
        <w:t>въглищни</w:t>
      </w:r>
      <w:proofErr w:type="spellEnd"/>
      <w:r w:rsidRPr="00B537B2">
        <w:rPr>
          <w:rFonts w:ascii="Times New Roman" w:hAnsi="Times New Roman"/>
        </w:rPr>
        <w:t xml:space="preserve"> </w:t>
      </w:r>
      <w:proofErr w:type="spellStart"/>
      <w:r w:rsidRPr="00B537B2">
        <w:rPr>
          <w:rFonts w:ascii="Times New Roman" w:hAnsi="Times New Roman"/>
        </w:rPr>
        <w:t>мини</w:t>
      </w:r>
      <w:proofErr w:type="spellEnd"/>
      <w:r w:rsidRPr="00B537B2">
        <w:rPr>
          <w:rFonts w:ascii="Times New Roman" w:hAnsi="Times New Roman"/>
        </w:rPr>
        <w:t xml:space="preserve"> (ОВ L 336, 21.12.2010 г., </w:t>
      </w:r>
      <w:proofErr w:type="spellStart"/>
      <w:r w:rsidRPr="00B537B2">
        <w:rPr>
          <w:rFonts w:ascii="Times New Roman" w:hAnsi="Times New Roman"/>
        </w:rPr>
        <w:t>стр</w:t>
      </w:r>
      <w:proofErr w:type="spellEnd"/>
      <w:r w:rsidRPr="00B537B2">
        <w:rPr>
          <w:rFonts w:ascii="Times New Roman" w:hAnsi="Times New Roman"/>
        </w:rPr>
        <w:t>. 24).</w:t>
      </w:r>
    </w:p>
  </w:footnote>
  <w:footnote w:id="2">
    <w:p w14:paraId="11C98A7D" w14:textId="77777777" w:rsidR="004B08DF" w:rsidRPr="0032351C" w:rsidRDefault="004B08DF" w:rsidP="004B08DF">
      <w:pPr>
        <w:pStyle w:val="FootnoteText"/>
        <w:jc w:val="both"/>
        <w:rPr>
          <w:lang w:val="bg-BG"/>
        </w:rPr>
      </w:pPr>
      <w:r>
        <w:rPr>
          <w:rStyle w:val="FootnoteReference"/>
        </w:rPr>
        <w:footnoteRef/>
      </w:r>
      <w:r>
        <w:t xml:space="preserve"> </w:t>
      </w:r>
      <w:r w:rsidRPr="0032351C">
        <w:rPr>
          <w:sz w:val="16"/>
          <w:szCs w:val="16"/>
          <w:lang w:val="bg-BG"/>
        </w:rPr>
        <w:t>При окончателно плащане Управляващият орган извършва проверка</w:t>
      </w:r>
      <w:r w:rsidRPr="0032351C">
        <w:rPr>
          <w:bCs/>
          <w:sz w:val="16"/>
          <w:szCs w:val="16"/>
          <w:lang w:val="bg-BG"/>
        </w:rPr>
        <w:t xml:space="preserve"> дали сконтираната стойност на безвъзмездната помощ към сконтираната стойност на допустимите разходи е в рамките на допустимия интензитет при прилагане на следната формула:</w:t>
      </w:r>
      <w:r w:rsidRPr="0032351C">
        <w:rPr>
          <w:sz w:val="16"/>
          <w:szCs w:val="16"/>
          <w:lang w:val="bg-BG"/>
        </w:rPr>
        <w:t xml:space="preserve"> </w:t>
      </w:r>
      <w:r w:rsidRPr="0032351C">
        <w:rPr>
          <w:bCs/>
          <w:sz w:val="16"/>
          <w:szCs w:val="16"/>
          <w:lang w:val="bg-BG"/>
        </w:rPr>
        <w:t>PV = FV/(1+i)</w:t>
      </w:r>
      <w:r w:rsidRPr="0032351C">
        <w:rPr>
          <w:bCs/>
          <w:sz w:val="16"/>
          <w:szCs w:val="16"/>
          <w:vertAlign w:val="superscript"/>
          <w:lang w:val="en-US"/>
        </w:rPr>
        <w:t>t</w:t>
      </w:r>
      <w:r w:rsidRPr="0032351C">
        <w:rPr>
          <w:bCs/>
          <w:sz w:val="16"/>
          <w:szCs w:val="16"/>
          <w:lang w:val="bg-BG"/>
        </w:rPr>
        <w:t xml:space="preserve"> , където PV е сконтирана стойност, FV е реална стойност,  i е лихвеният процент, а t – периода на изпълнение в години.</w:t>
      </w:r>
    </w:p>
  </w:footnote>
  <w:footnote w:id="3">
    <w:p w14:paraId="7BD2A5F0" w14:textId="77777777" w:rsidR="00114B2A" w:rsidRPr="00A15F26" w:rsidRDefault="00114B2A" w:rsidP="00902223">
      <w:pPr>
        <w:pStyle w:val="FootnoteText"/>
        <w:jc w:val="both"/>
        <w:rPr>
          <w:rFonts w:ascii="Times New Roman" w:hAnsi="Times New Roman"/>
          <w:sz w:val="16"/>
          <w:szCs w:val="16"/>
          <w:lang w:val="bg-BG"/>
        </w:rPr>
      </w:pPr>
      <w:r w:rsidRPr="00A15F26">
        <w:rPr>
          <w:rStyle w:val="FootnoteReference"/>
          <w:rFonts w:ascii="Times New Roman" w:hAnsi="Times New Roman"/>
        </w:rPr>
        <w:footnoteRef/>
      </w:r>
      <w:r w:rsidRPr="00A15F26">
        <w:rPr>
          <w:rFonts w:ascii="Times New Roman" w:hAnsi="Times New Roman"/>
        </w:rPr>
        <w:t xml:space="preserve"> </w:t>
      </w:r>
      <w:r w:rsidRPr="00A15F26">
        <w:rPr>
          <w:rFonts w:ascii="Times New Roman" w:hAnsi="Times New Roman"/>
          <w:sz w:val="16"/>
          <w:szCs w:val="16"/>
          <w:lang w:val="bg-BG"/>
        </w:rPr>
        <w:t xml:space="preserve">съгласно </w:t>
      </w:r>
      <w:r w:rsidR="003B4123" w:rsidRPr="00A15F26">
        <w:rPr>
          <w:rFonts w:ascii="Times New Roman" w:hAnsi="Times New Roman"/>
          <w:sz w:val="16"/>
          <w:szCs w:val="16"/>
          <w:lang w:val="bg-BG"/>
        </w:rPr>
        <w:t>член 2, параграф 23</w:t>
      </w:r>
      <w:r w:rsidR="003B4123" w:rsidRPr="00A15F26">
        <w:rPr>
          <w:rFonts w:ascii="Times New Roman" w:hAnsi="Times New Roman"/>
          <w:sz w:val="16"/>
          <w:szCs w:val="16"/>
          <w:lang w:val="en-US"/>
        </w:rPr>
        <w:t xml:space="preserve"> </w:t>
      </w:r>
      <w:r w:rsidR="003B4123" w:rsidRPr="00A15F26">
        <w:rPr>
          <w:rFonts w:ascii="Times New Roman" w:hAnsi="Times New Roman"/>
          <w:sz w:val="16"/>
          <w:szCs w:val="16"/>
          <w:lang w:val="bg-BG"/>
        </w:rPr>
        <w:t xml:space="preserve">на Регламент 651 „започване на работа означава първото от следните събития: започване на строителните работи, свързани с инвестицията, или поемане на първия </w:t>
      </w:r>
      <w:r w:rsidR="00A62AE2" w:rsidRPr="00A15F26">
        <w:rPr>
          <w:rFonts w:ascii="Times New Roman" w:hAnsi="Times New Roman"/>
          <w:sz w:val="16"/>
          <w:szCs w:val="16"/>
          <w:lang w:val="bg-BG"/>
        </w:rPr>
        <w:t>правно обвързващ</w:t>
      </w:r>
      <w:r w:rsidR="003B4123" w:rsidRPr="00A15F26">
        <w:rPr>
          <w:rFonts w:ascii="Times New Roman" w:hAnsi="Times New Roman"/>
          <w:sz w:val="16"/>
          <w:szCs w:val="16"/>
          <w:lang w:val="bg-BG"/>
        </w:rPr>
        <w:t xml:space="preserve"> документ за поръчка за оборудване или всеки друг ангажимент, който прави инвестицията необратима. Купуването на земя и </w:t>
      </w:r>
      <w:r w:rsidR="003B4123" w:rsidRPr="00A15F26">
        <w:rPr>
          <w:rFonts w:ascii="Times New Roman" w:hAnsi="Times New Roman"/>
          <w:b/>
          <w:sz w:val="16"/>
          <w:szCs w:val="16"/>
          <w:lang w:val="bg-BG"/>
        </w:rPr>
        <w:t>подготвителните дейности</w:t>
      </w:r>
      <w:r w:rsidR="003B4123" w:rsidRPr="00A15F26">
        <w:rPr>
          <w:rFonts w:ascii="Times New Roman" w:hAnsi="Times New Roman"/>
          <w:sz w:val="16"/>
          <w:szCs w:val="16"/>
          <w:lang w:val="bg-BG"/>
        </w:rPr>
        <w:t xml:space="preserve"> като получаване на разрешителни и провеждане на проучвания на осъществимостта не се считат за започване на работа по проекта…“</w:t>
      </w:r>
    </w:p>
  </w:footnote>
  <w:footnote w:id="4">
    <w:p w14:paraId="76BDA00C" w14:textId="77777777" w:rsidR="0026625D" w:rsidRDefault="0026625D" w:rsidP="0026625D">
      <w:pPr>
        <w:pStyle w:val="FootnoteText"/>
      </w:pPr>
      <w:r>
        <w:rPr>
          <w:rStyle w:val="FootnoteReference"/>
        </w:rPr>
        <w:footnoteRef/>
      </w:r>
      <w:r>
        <w:t xml:space="preserve"> </w:t>
      </w:r>
      <w:r w:rsidRPr="00DF10D1">
        <w:rPr>
          <w:rFonts w:ascii="Times New Roman" w:hAnsi="Times New Roman"/>
          <w:sz w:val="16"/>
          <w:szCs w:val="16"/>
          <w:lang w:val="bg-BG"/>
        </w:rPr>
        <w:t>Разходите за предварителни дейности по смисъла чл.2, пар.23 от ОРГО са допустими преди започване на работите по проекта, което означава първото от следните събития: започване на строителните работи, свързани с инвестицията, или поемане на първия правнообвързващ ангажимент за поръчка на оборудване или всеки друг ангажимент, който прави инвестицията необратима. Купуването на земя и подготвителните дейности като получаването на разрешителни и провеждането на проучвания на осъществимостта не се считат за започване на работите по проекта.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FBDB4" w14:textId="77777777" w:rsidR="00E60141" w:rsidRDefault="00E601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12482" w14:textId="74198A16" w:rsidR="00E613C2" w:rsidRPr="00902223" w:rsidRDefault="00E60141" w:rsidP="00E60141">
    <w:pPr>
      <w:pStyle w:val="Header"/>
      <w:jc w:val="center"/>
    </w:pPr>
    <w:r>
      <w:rPr>
        <w:noProof/>
      </w:rPr>
      <w:drawing>
        <wp:anchor distT="0" distB="0" distL="114300" distR="114300" simplePos="0" relativeHeight="251659264" behindDoc="1" locked="0" layoutInCell="1" allowOverlap="1" wp14:anchorId="2B9331A2" wp14:editId="48E3D2F1">
          <wp:simplePos x="0" y="0"/>
          <wp:positionH relativeFrom="column">
            <wp:posOffset>0</wp:posOffset>
          </wp:positionH>
          <wp:positionV relativeFrom="paragraph">
            <wp:posOffset>151765</wp:posOffset>
          </wp:positionV>
          <wp:extent cx="2314575" cy="571500"/>
          <wp:effectExtent l="0" t="0" r="9525" b="0"/>
          <wp:wrapTight wrapText="bothSides">
            <wp:wrapPolygon edited="0">
              <wp:start x="0" y="0"/>
              <wp:lineTo x="0" y="20880"/>
              <wp:lineTo x="21511" y="20880"/>
              <wp:lineTo x="21511"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14575" cy="571500"/>
                  </a:xfrm>
                  <a:prstGeom prst="rect">
                    <a:avLst/>
                  </a:prstGeom>
                </pic:spPr>
              </pic:pic>
            </a:graphicData>
          </a:graphic>
        </wp:anchor>
      </w:drawing>
    </w:r>
    <w:r>
      <w:rPr>
        <w:noProof/>
        <w:lang w:val="en-US"/>
      </w:rPr>
      <w:drawing>
        <wp:inline distT="0" distB="0" distL="0" distR="0" wp14:anchorId="67203F24" wp14:editId="5B232EE1">
          <wp:extent cx="993775" cy="8655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3775" cy="865505"/>
                  </a:xfrm>
                  <a:prstGeom prst="rect">
                    <a:avLst/>
                  </a:prstGeom>
                  <a:noFill/>
                </pic:spPr>
              </pic:pic>
            </a:graphicData>
          </a:graphic>
        </wp:inline>
      </w:drawing>
    </w: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8DCF9" w14:textId="77777777" w:rsidR="00E60141" w:rsidRDefault="00E601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name w:val="WW8Num9"/>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1" w15:restartNumberingAfterBreak="0">
    <w:nsid w:val="0000001B"/>
    <w:multiLevelType w:val="singleLevel"/>
    <w:tmpl w:val="0000001B"/>
    <w:name w:val="WW8Num27"/>
    <w:lvl w:ilvl="0">
      <w:start w:val="1"/>
      <w:numFmt w:val="bullet"/>
      <w:lvlText w:val=""/>
      <w:lvlJc w:val="left"/>
      <w:pPr>
        <w:tabs>
          <w:tab w:val="num" w:pos="720"/>
        </w:tabs>
        <w:ind w:left="720" w:hanging="360"/>
      </w:pPr>
      <w:rPr>
        <w:rFonts w:ascii="Symbol" w:hAnsi="Symbol" w:cs="Symbol" w:hint="default"/>
        <w:sz w:val="22"/>
        <w:szCs w:val="22"/>
        <w:lang w:val="bg-BG"/>
      </w:rPr>
    </w:lvl>
  </w:abstractNum>
  <w:abstractNum w:abstractNumId="2" w15:restartNumberingAfterBreak="0">
    <w:nsid w:val="00000028"/>
    <w:multiLevelType w:val="multilevel"/>
    <w:tmpl w:val="00000028"/>
    <w:name w:val="WW8Num40"/>
    <w:lvl w:ilvl="0">
      <w:start w:val="1"/>
      <w:numFmt w:val="bullet"/>
      <w:lvlText w:val=""/>
      <w:lvlJc w:val="left"/>
      <w:pPr>
        <w:tabs>
          <w:tab w:val="num" w:pos="360"/>
        </w:tabs>
        <w:ind w:left="360" w:hanging="360"/>
      </w:pPr>
      <w:rPr>
        <w:rFonts w:ascii="Wingdings" w:hAnsi="Wingdings" w:cs="Wingdings" w:hint="default"/>
        <w:b/>
        <w:i w:val="0"/>
        <w:caps/>
        <w:strike w:val="0"/>
        <w:dstrike w:val="0"/>
        <w:outline w:val="0"/>
        <w:shadow w:val="0"/>
        <w:vanish w:val="0"/>
        <w:position w:val="0"/>
        <w:sz w:val="22"/>
        <w:szCs w:val="22"/>
        <w:vertAlign w:val="baseline"/>
        <w:lang w:val="bg-BG"/>
      </w:rPr>
    </w:lvl>
    <w:lvl w:ilvl="1">
      <w:start w:val="1"/>
      <w:numFmt w:val="decimal"/>
      <w:lvlText w:val="5.%2."/>
      <w:lvlJc w:val="left"/>
      <w:pPr>
        <w:tabs>
          <w:tab w:val="num" w:pos="720"/>
        </w:tabs>
        <w:ind w:left="0" w:firstLine="0"/>
      </w:pPr>
      <w:rPr>
        <w:rFonts w:ascii="Arial Bold" w:hAnsi="Arial Bold" w:cs="Arial" w:hint="default"/>
        <w:b/>
        <w:i w:val="0"/>
        <w:caps w:val="0"/>
        <w:smallCaps w:val="0"/>
        <w:strike w:val="0"/>
        <w:dstrike w:val="0"/>
        <w:outline w:val="0"/>
        <w:shadow w:val="0"/>
        <w:vanish w:val="0"/>
        <w:position w:val="0"/>
        <w:sz w:val="22"/>
        <w:szCs w:val="22"/>
        <w:vertAlign w:val="baseline"/>
      </w:rPr>
    </w:lvl>
    <w:lvl w:ilvl="2">
      <w:start w:val="1"/>
      <w:numFmt w:val="decimal"/>
      <w:lvlText w:val="%2.%3."/>
      <w:lvlJc w:val="left"/>
      <w:pPr>
        <w:tabs>
          <w:tab w:val="num" w:pos="-180"/>
        </w:tabs>
        <w:ind w:left="180" w:firstLine="0"/>
      </w:pPr>
      <w:rPr>
        <w:rFonts w:hint="default"/>
      </w:rPr>
    </w:lvl>
    <w:lvl w:ilvl="3">
      <w:start w:val="4"/>
      <w:numFmt w:val="decimal"/>
      <w:lvlText w:val="%2.%3.%4."/>
      <w:lvlJc w:val="left"/>
      <w:pPr>
        <w:tabs>
          <w:tab w:val="num" w:pos="900"/>
        </w:tabs>
        <w:ind w:left="180" w:firstLine="0"/>
      </w:pPr>
      <w:rPr>
        <w:rFonts w:hint="default"/>
      </w:rPr>
    </w:lvl>
    <w:lvl w:ilvl="4">
      <w:start w:val="1"/>
      <w:numFmt w:val="decimal"/>
      <w:lvlText w:val="%1.%2.%3.%4.%5"/>
      <w:lvlJc w:val="left"/>
      <w:pPr>
        <w:tabs>
          <w:tab w:val="num" w:pos="-180"/>
        </w:tabs>
        <w:ind w:left="180" w:firstLine="0"/>
      </w:pPr>
      <w:rPr>
        <w:rFonts w:hint="default"/>
      </w:rPr>
    </w:lvl>
    <w:lvl w:ilvl="5">
      <w:start w:val="1"/>
      <w:numFmt w:val="decimal"/>
      <w:lvlText w:val="%1.%2.%3.%4.%5.%6"/>
      <w:lvlJc w:val="left"/>
      <w:pPr>
        <w:tabs>
          <w:tab w:val="num" w:pos="-180"/>
        </w:tabs>
        <w:ind w:left="180" w:firstLine="0"/>
      </w:pPr>
      <w:rPr>
        <w:rFonts w:hint="default"/>
      </w:rPr>
    </w:lvl>
    <w:lvl w:ilvl="6">
      <w:start w:val="1"/>
      <w:numFmt w:val="decimal"/>
      <w:lvlText w:val="%1.%2.%3.%4.%5.%6.%7"/>
      <w:lvlJc w:val="left"/>
      <w:pPr>
        <w:tabs>
          <w:tab w:val="num" w:pos="-180"/>
        </w:tabs>
        <w:ind w:left="180" w:firstLine="0"/>
      </w:pPr>
      <w:rPr>
        <w:rFonts w:hint="default"/>
      </w:rPr>
    </w:lvl>
    <w:lvl w:ilvl="7">
      <w:start w:val="1"/>
      <w:numFmt w:val="decimal"/>
      <w:lvlText w:val="%1.%2.%3.%4.%5.%6.%7.%8"/>
      <w:lvlJc w:val="left"/>
      <w:pPr>
        <w:tabs>
          <w:tab w:val="num" w:pos="-180"/>
        </w:tabs>
        <w:ind w:left="180" w:firstLine="0"/>
      </w:pPr>
      <w:rPr>
        <w:rFonts w:hint="default"/>
      </w:rPr>
    </w:lvl>
    <w:lvl w:ilvl="8">
      <w:start w:val="1"/>
      <w:numFmt w:val="decimal"/>
      <w:lvlText w:val="%1.%2.%3.%4.%5.%6.%7.%8.%9"/>
      <w:lvlJc w:val="left"/>
      <w:pPr>
        <w:tabs>
          <w:tab w:val="num" w:pos="-180"/>
        </w:tabs>
        <w:ind w:left="180" w:firstLine="0"/>
      </w:pPr>
      <w:rPr>
        <w:rFonts w:hint="default"/>
      </w:rPr>
    </w:lvl>
  </w:abstractNum>
  <w:abstractNum w:abstractNumId="3" w15:restartNumberingAfterBreak="0">
    <w:nsid w:val="000C7342"/>
    <w:multiLevelType w:val="hybridMultilevel"/>
    <w:tmpl w:val="F386E582"/>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15:restartNumberingAfterBreak="0">
    <w:nsid w:val="0457264B"/>
    <w:multiLevelType w:val="multilevel"/>
    <w:tmpl w:val="726C20D2"/>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5E37E8C"/>
    <w:multiLevelType w:val="hybridMultilevel"/>
    <w:tmpl w:val="3A60E16A"/>
    <w:lvl w:ilvl="0" w:tplc="10FE3262">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06BF6E2E"/>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A1046E7"/>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B3D6548"/>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E201982"/>
    <w:multiLevelType w:val="hybridMultilevel"/>
    <w:tmpl w:val="89CE27B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0EA9092F"/>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2BF5078"/>
    <w:multiLevelType w:val="hybridMultilevel"/>
    <w:tmpl w:val="6EBA5878"/>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337534A"/>
    <w:multiLevelType w:val="hybridMultilevel"/>
    <w:tmpl w:val="16284B8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34F7B69"/>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7AE24AF"/>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192A1E08"/>
    <w:multiLevelType w:val="hybridMultilevel"/>
    <w:tmpl w:val="94EA4E82"/>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1C7021A9"/>
    <w:multiLevelType w:val="multilevel"/>
    <w:tmpl w:val="06740D4E"/>
    <w:lvl w:ilvl="0">
      <w:start w:val="3"/>
      <w:numFmt w:val="decimal"/>
      <w:lvlText w:val="%1."/>
      <w:lvlJc w:val="left"/>
      <w:pPr>
        <w:ind w:left="360" w:hanging="360"/>
      </w:pPr>
    </w:lvl>
    <w:lvl w:ilvl="1">
      <w:start w:val="1"/>
      <w:numFmt w:val="decimal"/>
      <w:lvlText w:val="%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7" w15:restartNumberingAfterBreak="0">
    <w:nsid w:val="1D35421E"/>
    <w:multiLevelType w:val="hybridMultilevel"/>
    <w:tmpl w:val="7EECA9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206A418C"/>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9728BA"/>
    <w:multiLevelType w:val="hybridMultilevel"/>
    <w:tmpl w:val="9D7ACC98"/>
    <w:lvl w:ilvl="0" w:tplc="FF366FC6">
      <w:start w:val="1"/>
      <w:numFmt w:val="lowerRoman"/>
      <w:lvlText w:val="%1)"/>
      <w:lvlJc w:val="left"/>
      <w:pPr>
        <w:ind w:left="1080" w:hanging="720"/>
      </w:pPr>
      <w:rPr>
        <w:rFonts w:hint="default"/>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24AD3169"/>
    <w:multiLevelType w:val="multilevel"/>
    <w:tmpl w:val="968CEC3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29E62389"/>
    <w:multiLevelType w:val="hybridMultilevel"/>
    <w:tmpl w:val="E00E0AE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B773F2F"/>
    <w:multiLevelType w:val="hybridMultilevel"/>
    <w:tmpl w:val="8F8C739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2C7E17E0"/>
    <w:multiLevelType w:val="hybridMultilevel"/>
    <w:tmpl w:val="49B6555A"/>
    <w:lvl w:ilvl="0" w:tplc="616497D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D19589D"/>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E6A60CB"/>
    <w:multiLevelType w:val="hybridMultilevel"/>
    <w:tmpl w:val="31169038"/>
    <w:lvl w:ilvl="0" w:tplc="04020001">
      <w:start w:val="1"/>
      <w:numFmt w:val="bullet"/>
      <w:lvlText w:val=""/>
      <w:lvlJc w:val="left"/>
      <w:pPr>
        <w:ind w:left="643" w:hanging="360"/>
      </w:pPr>
      <w:rPr>
        <w:rFonts w:ascii="Symbol" w:hAnsi="Symbol" w:hint="default"/>
      </w:rPr>
    </w:lvl>
    <w:lvl w:ilvl="1" w:tplc="04020003" w:tentative="1">
      <w:start w:val="1"/>
      <w:numFmt w:val="bullet"/>
      <w:lvlText w:val="o"/>
      <w:lvlJc w:val="left"/>
      <w:pPr>
        <w:ind w:left="1363" w:hanging="360"/>
      </w:pPr>
      <w:rPr>
        <w:rFonts w:ascii="Courier New" w:hAnsi="Courier New" w:cs="Courier New" w:hint="default"/>
      </w:rPr>
    </w:lvl>
    <w:lvl w:ilvl="2" w:tplc="04020005" w:tentative="1">
      <w:start w:val="1"/>
      <w:numFmt w:val="bullet"/>
      <w:lvlText w:val=""/>
      <w:lvlJc w:val="left"/>
      <w:pPr>
        <w:ind w:left="2083" w:hanging="360"/>
      </w:pPr>
      <w:rPr>
        <w:rFonts w:ascii="Wingdings" w:hAnsi="Wingdings" w:hint="default"/>
      </w:rPr>
    </w:lvl>
    <w:lvl w:ilvl="3" w:tplc="04020001" w:tentative="1">
      <w:start w:val="1"/>
      <w:numFmt w:val="bullet"/>
      <w:lvlText w:val=""/>
      <w:lvlJc w:val="left"/>
      <w:pPr>
        <w:ind w:left="2803" w:hanging="360"/>
      </w:pPr>
      <w:rPr>
        <w:rFonts w:ascii="Symbol" w:hAnsi="Symbol" w:hint="default"/>
      </w:rPr>
    </w:lvl>
    <w:lvl w:ilvl="4" w:tplc="04020003" w:tentative="1">
      <w:start w:val="1"/>
      <w:numFmt w:val="bullet"/>
      <w:lvlText w:val="o"/>
      <w:lvlJc w:val="left"/>
      <w:pPr>
        <w:ind w:left="3523" w:hanging="360"/>
      </w:pPr>
      <w:rPr>
        <w:rFonts w:ascii="Courier New" w:hAnsi="Courier New" w:cs="Courier New" w:hint="default"/>
      </w:rPr>
    </w:lvl>
    <w:lvl w:ilvl="5" w:tplc="04020005" w:tentative="1">
      <w:start w:val="1"/>
      <w:numFmt w:val="bullet"/>
      <w:lvlText w:val=""/>
      <w:lvlJc w:val="left"/>
      <w:pPr>
        <w:ind w:left="4243" w:hanging="360"/>
      </w:pPr>
      <w:rPr>
        <w:rFonts w:ascii="Wingdings" w:hAnsi="Wingdings" w:hint="default"/>
      </w:rPr>
    </w:lvl>
    <w:lvl w:ilvl="6" w:tplc="04020001" w:tentative="1">
      <w:start w:val="1"/>
      <w:numFmt w:val="bullet"/>
      <w:lvlText w:val=""/>
      <w:lvlJc w:val="left"/>
      <w:pPr>
        <w:ind w:left="4963" w:hanging="360"/>
      </w:pPr>
      <w:rPr>
        <w:rFonts w:ascii="Symbol" w:hAnsi="Symbol" w:hint="default"/>
      </w:rPr>
    </w:lvl>
    <w:lvl w:ilvl="7" w:tplc="04020003" w:tentative="1">
      <w:start w:val="1"/>
      <w:numFmt w:val="bullet"/>
      <w:lvlText w:val="o"/>
      <w:lvlJc w:val="left"/>
      <w:pPr>
        <w:ind w:left="5683" w:hanging="360"/>
      </w:pPr>
      <w:rPr>
        <w:rFonts w:ascii="Courier New" w:hAnsi="Courier New" w:cs="Courier New" w:hint="default"/>
      </w:rPr>
    </w:lvl>
    <w:lvl w:ilvl="8" w:tplc="04020005" w:tentative="1">
      <w:start w:val="1"/>
      <w:numFmt w:val="bullet"/>
      <w:lvlText w:val=""/>
      <w:lvlJc w:val="left"/>
      <w:pPr>
        <w:ind w:left="6403" w:hanging="360"/>
      </w:pPr>
      <w:rPr>
        <w:rFonts w:ascii="Wingdings" w:hAnsi="Wingdings" w:hint="default"/>
      </w:rPr>
    </w:lvl>
  </w:abstractNum>
  <w:abstractNum w:abstractNumId="26" w15:restartNumberingAfterBreak="0">
    <w:nsid w:val="2F4941D9"/>
    <w:multiLevelType w:val="hybridMultilevel"/>
    <w:tmpl w:val="D3AE4DF6"/>
    <w:lvl w:ilvl="0" w:tplc="6D20C324">
      <w:start w:val="1"/>
      <w:numFmt w:val="decimal"/>
      <w:lvlText w:val="5.%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30130736"/>
    <w:multiLevelType w:val="hybridMultilevel"/>
    <w:tmpl w:val="FCDAE824"/>
    <w:lvl w:ilvl="0" w:tplc="BAB2E208">
      <w:start w:val="2"/>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34B408E2"/>
    <w:multiLevelType w:val="hybridMultilevel"/>
    <w:tmpl w:val="9F2CDA52"/>
    <w:lvl w:ilvl="0" w:tplc="050CF67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3144B7"/>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3A09397E"/>
    <w:multiLevelType w:val="hybridMultilevel"/>
    <w:tmpl w:val="B98EFE7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D326541"/>
    <w:multiLevelType w:val="hybridMultilevel"/>
    <w:tmpl w:val="7CCAE292"/>
    <w:lvl w:ilvl="0" w:tplc="08090001">
      <w:start w:val="1"/>
      <w:numFmt w:val="bullet"/>
      <w:lvlText w:val=""/>
      <w:lvlJc w:val="left"/>
      <w:pPr>
        <w:tabs>
          <w:tab w:val="num" w:pos="360"/>
        </w:tabs>
        <w:ind w:left="360" w:hanging="360"/>
      </w:pPr>
      <w:rPr>
        <w:rFonts w:ascii="Symbol" w:hAnsi="Symbol" w:hint="default"/>
      </w:rPr>
    </w:lvl>
    <w:lvl w:ilvl="1" w:tplc="0ECCE3F2">
      <w:start w:val="1"/>
      <w:numFmt w:val="bullet"/>
      <w:lvlText w:val="-"/>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3F944B4E"/>
    <w:multiLevelType w:val="multilevel"/>
    <w:tmpl w:val="682E11D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436675A9"/>
    <w:multiLevelType w:val="hybridMultilevel"/>
    <w:tmpl w:val="6A1A0226"/>
    <w:lvl w:ilvl="0" w:tplc="04020001">
      <w:start w:val="1"/>
      <w:numFmt w:val="bullet"/>
      <w:lvlText w:val=""/>
      <w:lvlJc w:val="left"/>
      <w:pPr>
        <w:ind w:left="786" w:hanging="360"/>
      </w:pPr>
      <w:rPr>
        <w:rFonts w:ascii="Symbol" w:hAnsi="Symbol"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34" w15:restartNumberingAfterBreak="0">
    <w:nsid w:val="4459575F"/>
    <w:multiLevelType w:val="hybridMultilevel"/>
    <w:tmpl w:val="2D2AFB5C"/>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49877B6D"/>
    <w:multiLevelType w:val="hybridMultilevel"/>
    <w:tmpl w:val="B978ADC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4AE86E1B"/>
    <w:multiLevelType w:val="hybridMultilevel"/>
    <w:tmpl w:val="C51C62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4F344B81"/>
    <w:multiLevelType w:val="hybridMultilevel"/>
    <w:tmpl w:val="986E247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523449BF"/>
    <w:multiLevelType w:val="hybridMultilevel"/>
    <w:tmpl w:val="64185270"/>
    <w:lvl w:ilvl="0" w:tplc="DC3CA30A">
      <w:start w:val="4"/>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55A31DAA"/>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B505225"/>
    <w:multiLevelType w:val="hybridMultilevel"/>
    <w:tmpl w:val="350A3C5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5C5D1435"/>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C5E44D7"/>
    <w:multiLevelType w:val="hybridMultilevel"/>
    <w:tmpl w:val="19D2FF7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664E0045"/>
    <w:multiLevelType w:val="hybridMultilevel"/>
    <w:tmpl w:val="2DEE61A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6A0D379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E283BC5"/>
    <w:multiLevelType w:val="hybridMultilevel"/>
    <w:tmpl w:val="DAE631B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15:restartNumberingAfterBreak="0">
    <w:nsid w:val="6E6E4E6D"/>
    <w:multiLevelType w:val="hybridMultilevel"/>
    <w:tmpl w:val="89C27D0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7" w15:restartNumberingAfterBreak="0">
    <w:nsid w:val="6F2F2395"/>
    <w:multiLevelType w:val="multilevel"/>
    <w:tmpl w:val="91888BC2"/>
    <w:lvl w:ilvl="0">
      <w:start w:val="1"/>
      <w:numFmt w:val="decimal"/>
      <w:lvlText w:val="%1."/>
      <w:lvlJc w:val="left"/>
      <w:pPr>
        <w:ind w:left="720" w:hanging="360"/>
      </w:pPr>
    </w:lvl>
    <w:lvl w:ilvl="1">
      <w:start w:val="1"/>
      <w:numFmt w:val="bullet"/>
      <w:lvlText w:val=""/>
      <w:lvlJc w:val="left"/>
      <w:pPr>
        <w:ind w:left="1059" w:hanging="360"/>
      </w:pPr>
      <w:rPr>
        <w:rFonts w:ascii="Wingdings" w:hAnsi="Wingdings" w:hint="default"/>
      </w:rPr>
    </w:lvl>
    <w:lvl w:ilvl="2">
      <w:start w:val="1"/>
      <w:numFmt w:val="decimal"/>
      <w:isLgl/>
      <w:lvlText w:val="%1.%2.%3."/>
      <w:lvlJc w:val="left"/>
      <w:pPr>
        <w:ind w:left="1758" w:hanging="720"/>
      </w:pPr>
      <w:rPr>
        <w:rFonts w:hint="default"/>
      </w:rPr>
    </w:lvl>
    <w:lvl w:ilvl="3">
      <w:start w:val="1"/>
      <w:numFmt w:val="decimal"/>
      <w:isLgl/>
      <w:lvlText w:val="%1.%2.%3.%4."/>
      <w:lvlJc w:val="left"/>
      <w:pPr>
        <w:ind w:left="2097" w:hanging="720"/>
      </w:pPr>
      <w:rPr>
        <w:rFonts w:hint="default"/>
      </w:rPr>
    </w:lvl>
    <w:lvl w:ilvl="4">
      <w:start w:val="1"/>
      <w:numFmt w:val="decimal"/>
      <w:isLgl/>
      <w:lvlText w:val="%1.%2.%3.%4.%5."/>
      <w:lvlJc w:val="left"/>
      <w:pPr>
        <w:ind w:left="2796" w:hanging="1080"/>
      </w:pPr>
      <w:rPr>
        <w:rFonts w:hint="default"/>
      </w:rPr>
    </w:lvl>
    <w:lvl w:ilvl="5">
      <w:start w:val="1"/>
      <w:numFmt w:val="decimal"/>
      <w:isLgl/>
      <w:lvlText w:val="%1.%2.%3.%4.%5.%6."/>
      <w:lvlJc w:val="left"/>
      <w:pPr>
        <w:ind w:left="3135" w:hanging="1080"/>
      </w:pPr>
      <w:rPr>
        <w:rFonts w:hint="default"/>
      </w:rPr>
    </w:lvl>
    <w:lvl w:ilvl="6">
      <w:start w:val="1"/>
      <w:numFmt w:val="decimal"/>
      <w:isLgl/>
      <w:lvlText w:val="%1.%2.%3.%4.%5.%6.%7."/>
      <w:lvlJc w:val="left"/>
      <w:pPr>
        <w:ind w:left="3834" w:hanging="1440"/>
      </w:pPr>
      <w:rPr>
        <w:rFonts w:hint="default"/>
      </w:rPr>
    </w:lvl>
    <w:lvl w:ilvl="7">
      <w:start w:val="1"/>
      <w:numFmt w:val="decimal"/>
      <w:isLgl/>
      <w:lvlText w:val="%1.%2.%3.%4.%5.%6.%7.%8."/>
      <w:lvlJc w:val="left"/>
      <w:pPr>
        <w:ind w:left="4173" w:hanging="1440"/>
      </w:pPr>
      <w:rPr>
        <w:rFonts w:hint="default"/>
      </w:rPr>
    </w:lvl>
    <w:lvl w:ilvl="8">
      <w:start w:val="1"/>
      <w:numFmt w:val="decimal"/>
      <w:isLgl/>
      <w:lvlText w:val="%1.%2.%3.%4.%5.%6.%7.%8.%9."/>
      <w:lvlJc w:val="left"/>
      <w:pPr>
        <w:ind w:left="4872" w:hanging="1800"/>
      </w:pPr>
      <w:rPr>
        <w:rFonts w:hint="default"/>
      </w:rPr>
    </w:lvl>
  </w:abstractNum>
  <w:abstractNum w:abstractNumId="48" w15:restartNumberingAfterBreak="0">
    <w:nsid w:val="6FA015F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0EC69B8"/>
    <w:multiLevelType w:val="hybridMultilevel"/>
    <w:tmpl w:val="19D2FF7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0" w15:restartNumberingAfterBreak="0">
    <w:nsid w:val="712D1A94"/>
    <w:multiLevelType w:val="hybridMultilevel"/>
    <w:tmpl w:val="5A0AA46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1" w15:restartNumberingAfterBreak="0">
    <w:nsid w:val="79905DD2"/>
    <w:multiLevelType w:val="multilevel"/>
    <w:tmpl w:val="0798A8C0"/>
    <w:lvl w:ilvl="0">
      <w:start w:val="1"/>
      <w:numFmt w:val="bullet"/>
      <w:lvlText w:val=""/>
      <w:lvlJc w:val="left"/>
      <w:pPr>
        <w:tabs>
          <w:tab w:val="num" w:pos="360"/>
        </w:tabs>
        <w:ind w:left="360" w:hanging="360"/>
      </w:pPr>
      <w:rPr>
        <w:rFonts w:ascii="Wingdings" w:hAnsi="Wingdings" w:hint="default"/>
        <w:b/>
      </w:rPr>
    </w:lvl>
    <w:lvl w:ilvl="1">
      <w:start w:val="1"/>
      <w:numFmt w:val="decimal"/>
      <w:lvlText w:val="%1.%2."/>
      <w:lvlJc w:val="left"/>
      <w:pPr>
        <w:tabs>
          <w:tab w:val="num" w:pos="284"/>
        </w:tabs>
        <w:ind w:left="1021" w:hanging="737"/>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1.%2"/>
      <w:lvlJc w:val="left"/>
      <w:pPr>
        <w:tabs>
          <w:tab w:val="num" w:pos="851"/>
        </w:tabs>
        <w:ind w:left="2835" w:hanging="2115"/>
      </w:pPr>
      <w:rPr>
        <w:rFonts w:hint="default"/>
      </w:rPr>
    </w:lvl>
    <w:lvl w:ilvl="3">
      <w:start w:val="1"/>
      <w:numFmt w:val="decimal"/>
      <w:lvlText w:val="%1.%2.%3.%4."/>
      <w:lvlJc w:val="left"/>
      <w:pPr>
        <w:tabs>
          <w:tab w:val="num" w:pos="1800"/>
        </w:tabs>
        <w:ind w:left="4366" w:hanging="3286"/>
      </w:pPr>
      <w:rPr>
        <w:rFonts w:hint="default"/>
      </w:rPr>
    </w:lvl>
    <w:lvl w:ilvl="4">
      <w:start w:val="1"/>
      <w:numFmt w:val="decimal"/>
      <w:lvlText w:val="%1.%2.%3.%4.%5."/>
      <w:lvlJc w:val="left"/>
      <w:pPr>
        <w:tabs>
          <w:tab w:val="num" w:pos="2520"/>
        </w:tabs>
        <w:ind w:left="5500" w:hanging="4060"/>
      </w:pPr>
      <w:rPr>
        <w:rFonts w:hint="default"/>
      </w:rPr>
    </w:lvl>
    <w:lvl w:ilvl="5">
      <w:start w:val="1"/>
      <w:numFmt w:val="decimal"/>
      <w:lvlText w:val="%1.%2.%3.%4.%5.%6."/>
      <w:lvlJc w:val="left"/>
      <w:pPr>
        <w:tabs>
          <w:tab w:val="num" w:pos="2880"/>
        </w:tabs>
        <w:ind w:left="6634" w:hanging="4834"/>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7B874761"/>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C075B8C"/>
    <w:multiLevelType w:val="hybridMultilevel"/>
    <w:tmpl w:val="43EABE42"/>
    <w:lvl w:ilvl="0" w:tplc="077218A8">
      <w:start w:val="1"/>
      <w:numFmt w:val="decimal"/>
      <w:lvlText w:val="4.%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4" w15:restartNumberingAfterBreak="0">
    <w:nsid w:val="7DE053C0"/>
    <w:multiLevelType w:val="hybridMultilevel"/>
    <w:tmpl w:val="88CC7D66"/>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44"/>
  </w:num>
  <w:num w:numId="4">
    <w:abstractNumId w:val="12"/>
  </w:num>
  <w:num w:numId="5">
    <w:abstractNumId w:val="43"/>
  </w:num>
  <w:num w:numId="6">
    <w:abstractNumId w:val="25"/>
  </w:num>
  <w:num w:numId="7">
    <w:abstractNumId w:val="17"/>
  </w:num>
  <w:num w:numId="8">
    <w:abstractNumId w:val="22"/>
  </w:num>
  <w:num w:numId="9">
    <w:abstractNumId w:val="21"/>
  </w:num>
  <w:num w:numId="10">
    <w:abstractNumId w:val="39"/>
  </w:num>
  <w:num w:numId="11">
    <w:abstractNumId w:val="45"/>
  </w:num>
  <w:num w:numId="12">
    <w:abstractNumId w:val="53"/>
  </w:num>
  <w:num w:numId="13">
    <w:abstractNumId w:val="26"/>
  </w:num>
  <w:num w:numId="14">
    <w:abstractNumId w:val="24"/>
  </w:num>
  <w:num w:numId="15">
    <w:abstractNumId w:val="34"/>
  </w:num>
  <w:num w:numId="16">
    <w:abstractNumId w:val="7"/>
  </w:num>
  <w:num w:numId="17">
    <w:abstractNumId w:val="41"/>
  </w:num>
  <w:num w:numId="18">
    <w:abstractNumId w:val="18"/>
  </w:num>
  <w:num w:numId="19">
    <w:abstractNumId w:val="8"/>
  </w:num>
  <w:num w:numId="20">
    <w:abstractNumId w:val="37"/>
  </w:num>
  <w:num w:numId="21">
    <w:abstractNumId w:val="29"/>
  </w:num>
  <w:num w:numId="22">
    <w:abstractNumId w:val="13"/>
  </w:num>
  <w:num w:numId="23">
    <w:abstractNumId w:val="48"/>
  </w:num>
  <w:num w:numId="24">
    <w:abstractNumId w:val="6"/>
  </w:num>
  <w:num w:numId="25">
    <w:abstractNumId w:val="47"/>
  </w:num>
  <w:num w:numId="26">
    <w:abstractNumId w:val="36"/>
  </w:num>
  <w:num w:numId="27">
    <w:abstractNumId w:val="16"/>
  </w:num>
  <w:num w:numId="28">
    <w:abstractNumId w:val="32"/>
  </w:num>
  <w:num w:numId="29">
    <w:abstractNumId w:val="20"/>
  </w:num>
  <w:num w:numId="30">
    <w:abstractNumId w:val="4"/>
  </w:num>
  <w:num w:numId="31">
    <w:abstractNumId w:val="52"/>
  </w:num>
  <w:num w:numId="32">
    <w:abstractNumId w:val="14"/>
  </w:num>
  <w:num w:numId="33">
    <w:abstractNumId w:val="46"/>
  </w:num>
  <w:num w:numId="34">
    <w:abstractNumId w:val="50"/>
  </w:num>
  <w:num w:numId="35">
    <w:abstractNumId w:val="49"/>
  </w:num>
  <w:num w:numId="36">
    <w:abstractNumId w:val="54"/>
  </w:num>
  <w:num w:numId="37">
    <w:abstractNumId w:val="42"/>
  </w:num>
  <w:num w:numId="38">
    <w:abstractNumId w:val="33"/>
  </w:num>
  <w:num w:numId="39">
    <w:abstractNumId w:val="19"/>
  </w:num>
  <w:num w:numId="40">
    <w:abstractNumId w:val="40"/>
  </w:num>
  <w:num w:numId="41">
    <w:abstractNumId w:val="30"/>
  </w:num>
  <w:num w:numId="42">
    <w:abstractNumId w:val="9"/>
  </w:num>
  <w:num w:numId="43">
    <w:abstractNumId w:val="23"/>
  </w:num>
  <w:num w:numId="44">
    <w:abstractNumId w:val="1"/>
  </w:num>
  <w:num w:numId="45">
    <w:abstractNumId w:val="0"/>
  </w:num>
  <w:num w:numId="46">
    <w:abstractNumId w:val="51"/>
  </w:num>
  <w:num w:numId="47">
    <w:abstractNumId w:val="2"/>
  </w:num>
  <w:num w:numId="48">
    <w:abstractNumId w:val="11"/>
  </w:num>
  <w:num w:numId="49">
    <w:abstractNumId w:val="31"/>
  </w:num>
  <w:num w:numId="50">
    <w:abstractNumId w:val="5"/>
  </w:num>
  <w:num w:numId="51">
    <w:abstractNumId w:val="38"/>
  </w:num>
  <w:num w:numId="52">
    <w:abstractNumId w:val="3"/>
  </w:num>
  <w:num w:numId="53">
    <w:abstractNumId w:val="35"/>
  </w:num>
  <w:num w:numId="54">
    <w:abstractNumId w:val="27"/>
  </w:num>
  <w:num w:numId="55">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02A"/>
    <w:rsid w:val="000044D9"/>
    <w:rsid w:val="00007EB8"/>
    <w:rsid w:val="0001446D"/>
    <w:rsid w:val="00022E22"/>
    <w:rsid w:val="00031939"/>
    <w:rsid w:val="00031E3D"/>
    <w:rsid w:val="000347A6"/>
    <w:rsid w:val="00042B58"/>
    <w:rsid w:val="00044C72"/>
    <w:rsid w:val="00047452"/>
    <w:rsid w:val="00064182"/>
    <w:rsid w:val="00066C7B"/>
    <w:rsid w:val="00067EA3"/>
    <w:rsid w:val="00070D54"/>
    <w:rsid w:val="00071FEB"/>
    <w:rsid w:val="000726B0"/>
    <w:rsid w:val="00075821"/>
    <w:rsid w:val="000801CF"/>
    <w:rsid w:val="00082156"/>
    <w:rsid w:val="000905AE"/>
    <w:rsid w:val="000944F7"/>
    <w:rsid w:val="000949A8"/>
    <w:rsid w:val="000976A2"/>
    <w:rsid w:val="000A179D"/>
    <w:rsid w:val="000A17EB"/>
    <w:rsid w:val="000A422E"/>
    <w:rsid w:val="000B3B22"/>
    <w:rsid w:val="000B7F98"/>
    <w:rsid w:val="000D720E"/>
    <w:rsid w:val="000D7571"/>
    <w:rsid w:val="000E130A"/>
    <w:rsid w:val="000E5877"/>
    <w:rsid w:val="000F7DDB"/>
    <w:rsid w:val="00103421"/>
    <w:rsid w:val="00112404"/>
    <w:rsid w:val="00114B2A"/>
    <w:rsid w:val="00116C28"/>
    <w:rsid w:val="00122316"/>
    <w:rsid w:val="001246DD"/>
    <w:rsid w:val="001252BF"/>
    <w:rsid w:val="00154F98"/>
    <w:rsid w:val="0015522F"/>
    <w:rsid w:val="00163B0D"/>
    <w:rsid w:val="00176385"/>
    <w:rsid w:val="0018068F"/>
    <w:rsid w:val="00181000"/>
    <w:rsid w:val="0018151E"/>
    <w:rsid w:val="00181E31"/>
    <w:rsid w:val="001834A6"/>
    <w:rsid w:val="0018689C"/>
    <w:rsid w:val="00186BC7"/>
    <w:rsid w:val="00187925"/>
    <w:rsid w:val="00194109"/>
    <w:rsid w:val="00195897"/>
    <w:rsid w:val="001A081D"/>
    <w:rsid w:val="001A1241"/>
    <w:rsid w:val="001B621A"/>
    <w:rsid w:val="001B7330"/>
    <w:rsid w:val="001C1963"/>
    <w:rsid w:val="001C2D3B"/>
    <w:rsid w:val="001C4B6F"/>
    <w:rsid w:val="001C7EA7"/>
    <w:rsid w:val="001D3E77"/>
    <w:rsid w:val="001E6AE6"/>
    <w:rsid w:val="001F1E03"/>
    <w:rsid w:val="001F6399"/>
    <w:rsid w:val="001F68C4"/>
    <w:rsid w:val="001F6D05"/>
    <w:rsid w:val="00210DAF"/>
    <w:rsid w:val="00215ED2"/>
    <w:rsid w:val="00227757"/>
    <w:rsid w:val="00231D05"/>
    <w:rsid w:val="00233E17"/>
    <w:rsid w:val="002401D9"/>
    <w:rsid w:val="002443D8"/>
    <w:rsid w:val="00245BD9"/>
    <w:rsid w:val="0025390F"/>
    <w:rsid w:val="00256486"/>
    <w:rsid w:val="00260D5C"/>
    <w:rsid w:val="00262ECA"/>
    <w:rsid w:val="002658DC"/>
    <w:rsid w:val="00265E3A"/>
    <w:rsid w:val="0026625D"/>
    <w:rsid w:val="00266802"/>
    <w:rsid w:val="00267A51"/>
    <w:rsid w:val="00273EC9"/>
    <w:rsid w:val="00274834"/>
    <w:rsid w:val="002823F7"/>
    <w:rsid w:val="0028280B"/>
    <w:rsid w:val="0028443F"/>
    <w:rsid w:val="00286AC1"/>
    <w:rsid w:val="00292F2A"/>
    <w:rsid w:val="002950D2"/>
    <w:rsid w:val="00295503"/>
    <w:rsid w:val="002968A6"/>
    <w:rsid w:val="002A08E2"/>
    <w:rsid w:val="002A2E19"/>
    <w:rsid w:val="002A6D28"/>
    <w:rsid w:val="002B074E"/>
    <w:rsid w:val="002B29F0"/>
    <w:rsid w:val="002B3993"/>
    <w:rsid w:val="002C3A93"/>
    <w:rsid w:val="002C5580"/>
    <w:rsid w:val="002D32C2"/>
    <w:rsid w:val="002D51AE"/>
    <w:rsid w:val="002D63DE"/>
    <w:rsid w:val="002E0EE4"/>
    <w:rsid w:val="002E1A1B"/>
    <w:rsid w:val="002E439B"/>
    <w:rsid w:val="002E4C20"/>
    <w:rsid w:val="002E4F97"/>
    <w:rsid w:val="002F0CF1"/>
    <w:rsid w:val="002F7231"/>
    <w:rsid w:val="00305C4A"/>
    <w:rsid w:val="00314FA5"/>
    <w:rsid w:val="0031566E"/>
    <w:rsid w:val="00317210"/>
    <w:rsid w:val="00322EC7"/>
    <w:rsid w:val="003242FD"/>
    <w:rsid w:val="00325846"/>
    <w:rsid w:val="0033211D"/>
    <w:rsid w:val="00337295"/>
    <w:rsid w:val="00340D02"/>
    <w:rsid w:val="00340EA3"/>
    <w:rsid w:val="00342855"/>
    <w:rsid w:val="00342D5C"/>
    <w:rsid w:val="003433A6"/>
    <w:rsid w:val="003507DF"/>
    <w:rsid w:val="00356AE5"/>
    <w:rsid w:val="003574F5"/>
    <w:rsid w:val="00365BBA"/>
    <w:rsid w:val="003730FD"/>
    <w:rsid w:val="00374AD7"/>
    <w:rsid w:val="003774D4"/>
    <w:rsid w:val="00382D0C"/>
    <w:rsid w:val="00384C5C"/>
    <w:rsid w:val="00391BB7"/>
    <w:rsid w:val="003A3544"/>
    <w:rsid w:val="003A7828"/>
    <w:rsid w:val="003B0C6C"/>
    <w:rsid w:val="003B263F"/>
    <w:rsid w:val="003B2F1D"/>
    <w:rsid w:val="003B3571"/>
    <w:rsid w:val="003B4123"/>
    <w:rsid w:val="003B5964"/>
    <w:rsid w:val="003C60B5"/>
    <w:rsid w:val="003D365A"/>
    <w:rsid w:val="003D428D"/>
    <w:rsid w:val="003E3A41"/>
    <w:rsid w:val="003F0AE6"/>
    <w:rsid w:val="003F3C5E"/>
    <w:rsid w:val="003F5F8A"/>
    <w:rsid w:val="003F72E8"/>
    <w:rsid w:val="003F77B7"/>
    <w:rsid w:val="0040004A"/>
    <w:rsid w:val="0040109F"/>
    <w:rsid w:val="0040282B"/>
    <w:rsid w:val="004035AE"/>
    <w:rsid w:val="00403873"/>
    <w:rsid w:val="00404589"/>
    <w:rsid w:val="00404E96"/>
    <w:rsid w:val="00404EA0"/>
    <w:rsid w:val="00412AC4"/>
    <w:rsid w:val="0041628D"/>
    <w:rsid w:val="0042049F"/>
    <w:rsid w:val="0042061C"/>
    <w:rsid w:val="00431A04"/>
    <w:rsid w:val="00432B16"/>
    <w:rsid w:val="00435A5E"/>
    <w:rsid w:val="00437841"/>
    <w:rsid w:val="0044318B"/>
    <w:rsid w:val="0044465A"/>
    <w:rsid w:val="00447984"/>
    <w:rsid w:val="004543A0"/>
    <w:rsid w:val="004559BD"/>
    <w:rsid w:val="00460FDF"/>
    <w:rsid w:val="00462201"/>
    <w:rsid w:val="004644B9"/>
    <w:rsid w:val="00464F18"/>
    <w:rsid w:val="00465300"/>
    <w:rsid w:val="00467205"/>
    <w:rsid w:val="00474010"/>
    <w:rsid w:val="00477562"/>
    <w:rsid w:val="0048079D"/>
    <w:rsid w:val="00484D11"/>
    <w:rsid w:val="00486CB5"/>
    <w:rsid w:val="0049046B"/>
    <w:rsid w:val="00493967"/>
    <w:rsid w:val="00497796"/>
    <w:rsid w:val="004A2E14"/>
    <w:rsid w:val="004A68F5"/>
    <w:rsid w:val="004B08DF"/>
    <w:rsid w:val="004B1ABC"/>
    <w:rsid w:val="004B5A76"/>
    <w:rsid w:val="004C7870"/>
    <w:rsid w:val="004D3321"/>
    <w:rsid w:val="004D37EA"/>
    <w:rsid w:val="004D6495"/>
    <w:rsid w:val="004E07AE"/>
    <w:rsid w:val="004E6869"/>
    <w:rsid w:val="004E720E"/>
    <w:rsid w:val="004F4EB7"/>
    <w:rsid w:val="00500D64"/>
    <w:rsid w:val="0050267B"/>
    <w:rsid w:val="005115BF"/>
    <w:rsid w:val="0051709E"/>
    <w:rsid w:val="00532469"/>
    <w:rsid w:val="0053636E"/>
    <w:rsid w:val="00541C9F"/>
    <w:rsid w:val="00542542"/>
    <w:rsid w:val="0054264A"/>
    <w:rsid w:val="00543C81"/>
    <w:rsid w:val="0055716B"/>
    <w:rsid w:val="00557BC6"/>
    <w:rsid w:val="0056070B"/>
    <w:rsid w:val="005620CF"/>
    <w:rsid w:val="00562E54"/>
    <w:rsid w:val="00564E68"/>
    <w:rsid w:val="00572259"/>
    <w:rsid w:val="005739F7"/>
    <w:rsid w:val="00573D67"/>
    <w:rsid w:val="00574F97"/>
    <w:rsid w:val="00580295"/>
    <w:rsid w:val="00580FF7"/>
    <w:rsid w:val="005819B0"/>
    <w:rsid w:val="00583C3D"/>
    <w:rsid w:val="00585647"/>
    <w:rsid w:val="005959A9"/>
    <w:rsid w:val="005960E8"/>
    <w:rsid w:val="005A338A"/>
    <w:rsid w:val="005A4069"/>
    <w:rsid w:val="005B3C9D"/>
    <w:rsid w:val="005B48D2"/>
    <w:rsid w:val="005B4B30"/>
    <w:rsid w:val="005B72C7"/>
    <w:rsid w:val="005C075D"/>
    <w:rsid w:val="005C1554"/>
    <w:rsid w:val="005C6F5C"/>
    <w:rsid w:val="005D4CAA"/>
    <w:rsid w:val="005D7C36"/>
    <w:rsid w:val="005E4631"/>
    <w:rsid w:val="005E7FA7"/>
    <w:rsid w:val="005F51A7"/>
    <w:rsid w:val="005F77A8"/>
    <w:rsid w:val="00612F9E"/>
    <w:rsid w:val="00613615"/>
    <w:rsid w:val="00616B80"/>
    <w:rsid w:val="00617631"/>
    <w:rsid w:val="006255D2"/>
    <w:rsid w:val="006375D8"/>
    <w:rsid w:val="00640818"/>
    <w:rsid w:val="00641D15"/>
    <w:rsid w:val="00651422"/>
    <w:rsid w:val="0065363B"/>
    <w:rsid w:val="00653C0D"/>
    <w:rsid w:val="00655A41"/>
    <w:rsid w:val="0065655F"/>
    <w:rsid w:val="00656C52"/>
    <w:rsid w:val="00660104"/>
    <w:rsid w:val="006779EF"/>
    <w:rsid w:val="0068137F"/>
    <w:rsid w:val="00681E04"/>
    <w:rsid w:val="00683174"/>
    <w:rsid w:val="00683BBB"/>
    <w:rsid w:val="0068658C"/>
    <w:rsid w:val="00692CC4"/>
    <w:rsid w:val="00692E71"/>
    <w:rsid w:val="00694C21"/>
    <w:rsid w:val="00694D28"/>
    <w:rsid w:val="00696106"/>
    <w:rsid w:val="00696E5E"/>
    <w:rsid w:val="006A0E10"/>
    <w:rsid w:val="006A27A1"/>
    <w:rsid w:val="006A55A5"/>
    <w:rsid w:val="006A6F81"/>
    <w:rsid w:val="006B4556"/>
    <w:rsid w:val="006B5A3E"/>
    <w:rsid w:val="006B66B6"/>
    <w:rsid w:val="006C098C"/>
    <w:rsid w:val="006C1ACC"/>
    <w:rsid w:val="006C4296"/>
    <w:rsid w:val="006D0028"/>
    <w:rsid w:val="006D42EF"/>
    <w:rsid w:val="006E2508"/>
    <w:rsid w:val="006E4422"/>
    <w:rsid w:val="006F4BF5"/>
    <w:rsid w:val="00703D1E"/>
    <w:rsid w:val="00704439"/>
    <w:rsid w:val="007136D4"/>
    <w:rsid w:val="0072048D"/>
    <w:rsid w:val="00731CF0"/>
    <w:rsid w:val="0073201F"/>
    <w:rsid w:val="00732CFB"/>
    <w:rsid w:val="00732EDC"/>
    <w:rsid w:val="00740322"/>
    <w:rsid w:val="00740D9B"/>
    <w:rsid w:val="0074170E"/>
    <w:rsid w:val="00743970"/>
    <w:rsid w:val="00753846"/>
    <w:rsid w:val="00753B0C"/>
    <w:rsid w:val="007626B8"/>
    <w:rsid w:val="00765652"/>
    <w:rsid w:val="0076758F"/>
    <w:rsid w:val="007767E0"/>
    <w:rsid w:val="0077729B"/>
    <w:rsid w:val="007772EA"/>
    <w:rsid w:val="0078535C"/>
    <w:rsid w:val="0078695F"/>
    <w:rsid w:val="00790974"/>
    <w:rsid w:val="0079139B"/>
    <w:rsid w:val="007915EB"/>
    <w:rsid w:val="00792478"/>
    <w:rsid w:val="00795701"/>
    <w:rsid w:val="007A0AF9"/>
    <w:rsid w:val="007A281E"/>
    <w:rsid w:val="007A2C08"/>
    <w:rsid w:val="007A54DF"/>
    <w:rsid w:val="007B5737"/>
    <w:rsid w:val="007B680C"/>
    <w:rsid w:val="007D4B7E"/>
    <w:rsid w:val="007D4BDE"/>
    <w:rsid w:val="007D73A5"/>
    <w:rsid w:val="007D7867"/>
    <w:rsid w:val="007E1218"/>
    <w:rsid w:val="007E3A78"/>
    <w:rsid w:val="007E3F82"/>
    <w:rsid w:val="007E55DE"/>
    <w:rsid w:val="007F0A11"/>
    <w:rsid w:val="007F1AF1"/>
    <w:rsid w:val="007F1D8A"/>
    <w:rsid w:val="007F2A06"/>
    <w:rsid w:val="007F62C1"/>
    <w:rsid w:val="00800A5D"/>
    <w:rsid w:val="008061F9"/>
    <w:rsid w:val="008070E8"/>
    <w:rsid w:val="00810158"/>
    <w:rsid w:val="008237AC"/>
    <w:rsid w:val="00830B9A"/>
    <w:rsid w:val="0083188C"/>
    <w:rsid w:val="00833CE6"/>
    <w:rsid w:val="00834C00"/>
    <w:rsid w:val="00841808"/>
    <w:rsid w:val="00846778"/>
    <w:rsid w:val="0084780E"/>
    <w:rsid w:val="00850764"/>
    <w:rsid w:val="008528D4"/>
    <w:rsid w:val="00861233"/>
    <w:rsid w:val="00865651"/>
    <w:rsid w:val="00867998"/>
    <w:rsid w:val="00870CD2"/>
    <w:rsid w:val="008733D0"/>
    <w:rsid w:val="00873688"/>
    <w:rsid w:val="00880A19"/>
    <w:rsid w:val="008811DF"/>
    <w:rsid w:val="008930AE"/>
    <w:rsid w:val="0089556C"/>
    <w:rsid w:val="00897641"/>
    <w:rsid w:val="008A0CA8"/>
    <w:rsid w:val="008A1372"/>
    <w:rsid w:val="008A2626"/>
    <w:rsid w:val="008A5A40"/>
    <w:rsid w:val="008A5C16"/>
    <w:rsid w:val="008B5188"/>
    <w:rsid w:val="008B58AE"/>
    <w:rsid w:val="008B63B6"/>
    <w:rsid w:val="008B70AD"/>
    <w:rsid w:val="008C1FE9"/>
    <w:rsid w:val="008C62C2"/>
    <w:rsid w:val="008D14B3"/>
    <w:rsid w:val="008D5FED"/>
    <w:rsid w:val="008D631E"/>
    <w:rsid w:val="008E52C2"/>
    <w:rsid w:val="008F07F5"/>
    <w:rsid w:val="008F25BD"/>
    <w:rsid w:val="008F2EE4"/>
    <w:rsid w:val="00902223"/>
    <w:rsid w:val="0091040A"/>
    <w:rsid w:val="00914E1B"/>
    <w:rsid w:val="00920D08"/>
    <w:rsid w:val="00923D1C"/>
    <w:rsid w:val="00923F7A"/>
    <w:rsid w:val="009308E2"/>
    <w:rsid w:val="00936F79"/>
    <w:rsid w:val="0095564C"/>
    <w:rsid w:val="00957E50"/>
    <w:rsid w:val="009663ED"/>
    <w:rsid w:val="00973234"/>
    <w:rsid w:val="009745FC"/>
    <w:rsid w:val="00974AC8"/>
    <w:rsid w:val="00975A63"/>
    <w:rsid w:val="009818BF"/>
    <w:rsid w:val="0098466C"/>
    <w:rsid w:val="009859CD"/>
    <w:rsid w:val="009870DC"/>
    <w:rsid w:val="00991897"/>
    <w:rsid w:val="00992727"/>
    <w:rsid w:val="009A6BBA"/>
    <w:rsid w:val="009B104D"/>
    <w:rsid w:val="009B1AFF"/>
    <w:rsid w:val="009B3D91"/>
    <w:rsid w:val="009B77E3"/>
    <w:rsid w:val="009C01CB"/>
    <w:rsid w:val="009C1720"/>
    <w:rsid w:val="009C4FBB"/>
    <w:rsid w:val="009C6800"/>
    <w:rsid w:val="009C7D69"/>
    <w:rsid w:val="009E1ACB"/>
    <w:rsid w:val="009E32DA"/>
    <w:rsid w:val="009F2517"/>
    <w:rsid w:val="009F2DC7"/>
    <w:rsid w:val="009F7FC5"/>
    <w:rsid w:val="00A01E19"/>
    <w:rsid w:val="00A01EE1"/>
    <w:rsid w:val="00A1187B"/>
    <w:rsid w:val="00A119A3"/>
    <w:rsid w:val="00A13484"/>
    <w:rsid w:val="00A15F26"/>
    <w:rsid w:val="00A16CF8"/>
    <w:rsid w:val="00A209F4"/>
    <w:rsid w:val="00A22ECD"/>
    <w:rsid w:val="00A25FCD"/>
    <w:rsid w:val="00A32C3F"/>
    <w:rsid w:val="00A338A3"/>
    <w:rsid w:val="00A35F2F"/>
    <w:rsid w:val="00A43AFB"/>
    <w:rsid w:val="00A53D27"/>
    <w:rsid w:val="00A54FDB"/>
    <w:rsid w:val="00A62AE2"/>
    <w:rsid w:val="00A6372C"/>
    <w:rsid w:val="00A67BFB"/>
    <w:rsid w:val="00A7072C"/>
    <w:rsid w:val="00A87BB0"/>
    <w:rsid w:val="00A87EE5"/>
    <w:rsid w:val="00A9563C"/>
    <w:rsid w:val="00A968CE"/>
    <w:rsid w:val="00A97FE4"/>
    <w:rsid w:val="00AA1766"/>
    <w:rsid w:val="00AA1C1C"/>
    <w:rsid w:val="00AA402A"/>
    <w:rsid w:val="00AA4D1A"/>
    <w:rsid w:val="00AA6661"/>
    <w:rsid w:val="00AA6E5B"/>
    <w:rsid w:val="00AA7D25"/>
    <w:rsid w:val="00AB38A3"/>
    <w:rsid w:val="00AB719C"/>
    <w:rsid w:val="00AC0740"/>
    <w:rsid w:val="00AC42F3"/>
    <w:rsid w:val="00AC447C"/>
    <w:rsid w:val="00AD16E5"/>
    <w:rsid w:val="00AD3495"/>
    <w:rsid w:val="00AD4E31"/>
    <w:rsid w:val="00AD5188"/>
    <w:rsid w:val="00AD62E6"/>
    <w:rsid w:val="00AE719F"/>
    <w:rsid w:val="00AF63CF"/>
    <w:rsid w:val="00AF7DA0"/>
    <w:rsid w:val="00B0150F"/>
    <w:rsid w:val="00B03FFC"/>
    <w:rsid w:val="00B07775"/>
    <w:rsid w:val="00B1493D"/>
    <w:rsid w:val="00B1600A"/>
    <w:rsid w:val="00B174F9"/>
    <w:rsid w:val="00B17939"/>
    <w:rsid w:val="00B2043B"/>
    <w:rsid w:val="00B342AA"/>
    <w:rsid w:val="00B34DD4"/>
    <w:rsid w:val="00B4035C"/>
    <w:rsid w:val="00B43DC6"/>
    <w:rsid w:val="00B4549A"/>
    <w:rsid w:val="00B4565F"/>
    <w:rsid w:val="00B45ED3"/>
    <w:rsid w:val="00B50471"/>
    <w:rsid w:val="00B5368E"/>
    <w:rsid w:val="00B537B2"/>
    <w:rsid w:val="00B54BB2"/>
    <w:rsid w:val="00B609AB"/>
    <w:rsid w:val="00B64AA7"/>
    <w:rsid w:val="00B71EA4"/>
    <w:rsid w:val="00B82201"/>
    <w:rsid w:val="00B90800"/>
    <w:rsid w:val="00B92CCD"/>
    <w:rsid w:val="00B94CD3"/>
    <w:rsid w:val="00B9600D"/>
    <w:rsid w:val="00B963F4"/>
    <w:rsid w:val="00B96D94"/>
    <w:rsid w:val="00BA1B23"/>
    <w:rsid w:val="00BA3FF1"/>
    <w:rsid w:val="00BA7A13"/>
    <w:rsid w:val="00BB1994"/>
    <w:rsid w:val="00BB2DCE"/>
    <w:rsid w:val="00BB455F"/>
    <w:rsid w:val="00BB45E3"/>
    <w:rsid w:val="00BB5070"/>
    <w:rsid w:val="00BB6E47"/>
    <w:rsid w:val="00BC277F"/>
    <w:rsid w:val="00BC2A66"/>
    <w:rsid w:val="00BC40F9"/>
    <w:rsid w:val="00BD6B5D"/>
    <w:rsid w:val="00BF03F6"/>
    <w:rsid w:val="00BF25A8"/>
    <w:rsid w:val="00C00AC4"/>
    <w:rsid w:val="00C014FD"/>
    <w:rsid w:val="00C01E35"/>
    <w:rsid w:val="00C059FE"/>
    <w:rsid w:val="00C13CB3"/>
    <w:rsid w:val="00C308E5"/>
    <w:rsid w:val="00C51E8E"/>
    <w:rsid w:val="00C66C0C"/>
    <w:rsid w:val="00C73B9B"/>
    <w:rsid w:val="00C757E9"/>
    <w:rsid w:val="00C76512"/>
    <w:rsid w:val="00C80783"/>
    <w:rsid w:val="00C8776B"/>
    <w:rsid w:val="00C90178"/>
    <w:rsid w:val="00C91729"/>
    <w:rsid w:val="00C969B6"/>
    <w:rsid w:val="00CA133D"/>
    <w:rsid w:val="00CA65D7"/>
    <w:rsid w:val="00CA7B68"/>
    <w:rsid w:val="00CB4794"/>
    <w:rsid w:val="00CC26C5"/>
    <w:rsid w:val="00CC3551"/>
    <w:rsid w:val="00CD50E5"/>
    <w:rsid w:val="00CE03AA"/>
    <w:rsid w:val="00CE17AE"/>
    <w:rsid w:val="00CE5976"/>
    <w:rsid w:val="00CE5ED6"/>
    <w:rsid w:val="00CE75E3"/>
    <w:rsid w:val="00CE7C1D"/>
    <w:rsid w:val="00CF7C1E"/>
    <w:rsid w:val="00D01511"/>
    <w:rsid w:val="00D02AB9"/>
    <w:rsid w:val="00D050FB"/>
    <w:rsid w:val="00D06A2C"/>
    <w:rsid w:val="00D10CFE"/>
    <w:rsid w:val="00D177DA"/>
    <w:rsid w:val="00D30437"/>
    <w:rsid w:val="00D33E35"/>
    <w:rsid w:val="00D37085"/>
    <w:rsid w:val="00D4110C"/>
    <w:rsid w:val="00D41F4E"/>
    <w:rsid w:val="00D41FA7"/>
    <w:rsid w:val="00D432A0"/>
    <w:rsid w:val="00D44EE5"/>
    <w:rsid w:val="00D508A0"/>
    <w:rsid w:val="00D551DD"/>
    <w:rsid w:val="00D57893"/>
    <w:rsid w:val="00D60263"/>
    <w:rsid w:val="00D61CC0"/>
    <w:rsid w:val="00D66EBC"/>
    <w:rsid w:val="00D6770B"/>
    <w:rsid w:val="00D712E9"/>
    <w:rsid w:val="00D7306A"/>
    <w:rsid w:val="00D74185"/>
    <w:rsid w:val="00D74712"/>
    <w:rsid w:val="00D77C54"/>
    <w:rsid w:val="00D807FE"/>
    <w:rsid w:val="00D82BB2"/>
    <w:rsid w:val="00D82DEB"/>
    <w:rsid w:val="00D83769"/>
    <w:rsid w:val="00D83FFA"/>
    <w:rsid w:val="00D843F5"/>
    <w:rsid w:val="00D85E08"/>
    <w:rsid w:val="00D911D9"/>
    <w:rsid w:val="00D9538E"/>
    <w:rsid w:val="00D97EC6"/>
    <w:rsid w:val="00DA1026"/>
    <w:rsid w:val="00DA3838"/>
    <w:rsid w:val="00DA4026"/>
    <w:rsid w:val="00DA4097"/>
    <w:rsid w:val="00DA49B1"/>
    <w:rsid w:val="00DA6B71"/>
    <w:rsid w:val="00DB02AB"/>
    <w:rsid w:val="00DB4E76"/>
    <w:rsid w:val="00DB7A38"/>
    <w:rsid w:val="00DC2F62"/>
    <w:rsid w:val="00DC4A99"/>
    <w:rsid w:val="00DC7B58"/>
    <w:rsid w:val="00DD5425"/>
    <w:rsid w:val="00DD66A5"/>
    <w:rsid w:val="00DD6C1D"/>
    <w:rsid w:val="00DE5BCD"/>
    <w:rsid w:val="00DF0B6A"/>
    <w:rsid w:val="00DF10D1"/>
    <w:rsid w:val="00DF44DD"/>
    <w:rsid w:val="00DF76CB"/>
    <w:rsid w:val="00E026AF"/>
    <w:rsid w:val="00E03DC0"/>
    <w:rsid w:val="00E0606E"/>
    <w:rsid w:val="00E0771D"/>
    <w:rsid w:val="00E104E3"/>
    <w:rsid w:val="00E11975"/>
    <w:rsid w:val="00E14B0A"/>
    <w:rsid w:val="00E15C85"/>
    <w:rsid w:val="00E1686A"/>
    <w:rsid w:val="00E20CC2"/>
    <w:rsid w:val="00E21BD5"/>
    <w:rsid w:val="00E27BA7"/>
    <w:rsid w:val="00E34298"/>
    <w:rsid w:val="00E3640D"/>
    <w:rsid w:val="00E36433"/>
    <w:rsid w:val="00E37ABF"/>
    <w:rsid w:val="00E43F59"/>
    <w:rsid w:val="00E44229"/>
    <w:rsid w:val="00E45A7D"/>
    <w:rsid w:val="00E5027E"/>
    <w:rsid w:val="00E57352"/>
    <w:rsid w:val="00E60141"/>
    <w:rsid w:val="00E613C2"/>
    <w:rsid w:val="00E630F7"/>
    <w:rsid w:val="00E65549"/>
    <w:rsid w:val="00E708C0"/>
    <w:rsid w:val="00E72253"/>
    <w:rsid w:val="00E731AA"/>
    <w:rsid w:val="00E742CA"/>
    <w:rsid w:val="00E829C8"/>
    <w:rsid w:val="00E86EF3"/>
    <w:rsid w:val="00E96DEE"/>
    <w:rsid w:val="00EA4EB9"/>
    <w:rsid w:val="00EB14F0"/>
    <w:rsid w:val="00EB3C2C"/>
    <w:rsid w:val="00EB40EE"/>
    <w:rsid w:val="00EB440F"/>
    <w:rsid w:val="00EB4744"/>
    <w:rsid w:val="00EC7395"/>
    <w:rsid w:val="00ED022E"/>
    <w:rsid w:val="00ED1A81"/>
    <w:rsid w:val="00ED6C95"/>
    <w:rsid w:val="00EE49A6"/>
    <w:rsid w:val="00EE6A30"/>
    <w:rsid w:val="00EF073B"/>
    <w:rsid w:val="00EF578E"/>
    <w:rsid w:val="00F01926"/>
    <w:rsid w:val="00F06EBB"/>
    <w:rsid w:val="00F07443"/>
    <w:rsid w:val="00F11A23"/>
    <w:rsid w:val="00F13CF0"/>
    <w:rsid w:val="00F157B5"/>
    <w:rsid w:val="00F16832"/>
    <w:rsid w:val="00F22D6E"/>
    <w:rsid w:val="00F24BA7"/>
    <w:rsid w:val="00F3084E"/>
    <w:rsid w:val="00F409B2"/>
    <w:rsid w:val="00F4290B"/>
    <w:rsid w:val="00F57270"/>
    <w:rsid w:val="00F6157F"/>
    <w:rsid w:val="00F635E4"/>
    <w:rsid w:val="00F67659"/>
    <w:rsid w:val="00F743A7"/>
    <w:rsid w:val="00F77D04"/>
    <w:rsid w:val="00F77FAF"/>
    <w:rsid w:val="00F83D5F"/>
    <w:rsid w:val="00F85DE1"/>
    <w:rsid w:val="00F86834"/>
    <w:rsid w:val="00F86A24"/>
    <w:rsid w:val="00F90408"/>
    <w:rsid w:val="00F92FBD"/>
    <w:rsid w:val="00F95441"/>
    <w:rsid w:val="00FA218C"/>
    <w:rsid w:val="00FA72D4"/>
    <w:rsid w:val="00FB1EAB"/>
    <w:rsid w:val="00FB4265"/>
    <w:rsid w:val="00FB4698"/>
    <w:rsid w:val="00FC6CD7"/>
    <w:rsid w:val="00FE0989"/>
    <w:rsid w:val="00FE579B"/>
    <w:rsid w:val="00FF613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888C25"/>
  <w15:docId w15:val="{26E3DEA5-1EEE-4438-83A0-A285C78D1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5441"/>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3F0A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34DD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A402A"/>
    <w:pPr>
      <w:ind w:left="720"/>
      <w:contextualSpacing/>
    </w:pPr>
  </w:style>
  <w:style w:type="character" w:styleId="CommentReference">
    <w:name w:val="annotation reference"/>
    <w:basedOn w:val="DefaultParagraphFont"/>
    <w:unhideWhenUsed/>
    <w:rsid w:val="00AA402A"/>
    <w:rPr>
      <w:sz w:val="16"/>
      <w:szCs w:val="16"/>
    </w:rPr>
  </w:style>
  <w:style w:type="paragraph" w:styleId="CommentText">
    <w:name w:val="annotation text"/>
    <w:basedOn w:val="Normal"/>
    <w:link w:val="CommentTextChar"/>
    <w:unhideWhenUsed/>
    <w:rsid w:val="00AA402A"/>
  </w:style>
  <w:style w:type="character" w:customStyle="1" w:styleId="CommentTextChar">
    <w:name w:val="Comment Text Char"/>
    <w:basedOn w:val="DefaultParagraphFont"/>
    <w:link w:val="CommentText"/>
    <w:rsid w:val="00AA402A"/>
    <w:rPr>
      <w:rFonts w:ascii="Arial" w:eastAsia="Times New Roman" w:hAnsi="Arial" w:cs="Times New Roman"/>
      <w:sz w:val="20"/>
      <w:szCs w:val="20"/>
      <w:lang w:val="en-GB"/>
    </w:rPr>
  </w:style>
  <w:style w:type="paragraph" w:styleId="BodyText">
    <w:name w:val="Body Text"/>
    <w:basedOn w:val="Normal"/>
    <w:link w:val="BodyTextChar"/>
    <w:unhideWhenUsed/>
    <w:rsid w:val="00AA402A"/>
    <w:pPr>
      <w:spacing w:after="120"/>
    </w:pPr>
  </w:style>
  <w:style w:type="character" w:customStyle="1" w:styleId="BodyTextChar">
    <w:name w:val="Body Text Char"/>
    <w:basedOn w:val="DefaultParagraphFont"/>
    <w:link w:val="BodyText"/>
    <w:rsid w:val="00AA402A"/>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AA402A"/>
    <w:rPr>
      <w:rFonts w:ascii="Tahoma" w:hAnsi="Tahoma" w:cs="Tahoma"/>
      <w:sz w:val="16"/>
      <w:szCs w:val="16"/>
    </w:rPr>
  </w:style>
  <w:style w:type="character" w:customStyle="1" w:styleId="BalloonTextChar">
    <w:name w:val="Balloon Text Char"/>
    <w:basedOn w:val="DefaultParagraphFont"/>
    <w:link w:val="BalloonText"/>
    <w:uiPriority w:val="99"/>
    <w:semiHidden/>
    <w:rsid w:val="00AA402A"/>
    <w:rPr>
      <w:rFonts w:ascii="Tahoma" w:eastAsia="Times New Roman" w:hAnsi="Tahoma" w:cs="Tahoma"/>
      <w:sz w:val="16"/>
      <w:szCs w:val="16"/>
      <w:lang w:val="en-GB"/>
    </w:rPr>
  </w:style>
  <w:style w:type="paragraph" w:customStyle="1" w:styleId="CM1">
    <w:name w:val="CM1"/>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CM3">
    <w:name w:val="CM3"/>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Default">
    <w:name w:val="Default"/>
    <w:rsid w:val="002A6D28"/>
    <w:pPr>
      <w:autoSpaceDE w:val="0"/>
      <w:autoSpaceDN w:val="0"/>
      <w:adjustRightInd w:val="0"/>
      <w:spacing w:after="0" w:line="240" w:lineRule="auto"/>
    </w:pPr>
    <w:rPr>
      <w:rFonts w:ascii="EUAlbertina" w:hAnsi="EUAlbertina" w:cs="EUAlbertina"/>
      <w:color w:val="000000"/>
      <w:sz w:val="24"/>
      <w:szCs w:val="24"/>
    </w:rPr>
  </w:style>
  <w:style w:type="paragraph" w:styleId="Caption">
    <w:name w:val="caption"/>
    <w:basedOn w:val="Normal"/>
    <w:next w:val="Normal"/>
    <w:qFormat/>
    <w:rsid w:val="000E130A"/>
    <w:pPr>
      <w:keepNext/>
      <w:keepLines/>
      <w:spacing w:before="120"/>
    </w:pPr>
    <w:rPr>
      <w:b/>
      <w:bCs/>
      <w:sz w:val="18"/>
      <w:szCs w:val="18"/>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unhideWhenUsed/>
    <w:qFormat/>
    <w:rsid w:val="0025390F"/>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25390F"/>
    <w:rPr>
      <w:rFonts w:ascii="Arial" w:eastAsia="Times New Roman" w:hAnsi="Arial" w:cs="Times New Roman"/>
      <w:sz w:val="20"/>
      <w:szCs w:val="20"/>
      <w:lang w:val="en-GB"/>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SUPE,f"/>
    <w:basedOn w:val="DefaultParagraphFont"/>
    <w:link w:val="SUPERSChar"/>
    <w:unhideWhenUsed/>
    <w:qFormat/>
    <w:rsid w:val="0025390F"/>
    <w:rPr>
      <w:vertAlign w:val="superscript"/>
    </w:rPr>
  </w:style>
  <w:style w:type="paragraph" w:styleId="Header">
    <w:name w:val="header"/>
    <w:basedOn w:val="Normal"/>
    <w:link w:val="HeaderChar"/>
    <w:unhideWhenUsed/>
    <w:rsid w:val="009C1720"/>
    <w:pPr>
      <w:tabs>
        <w:tab w:val="center" w:pos="4536"/>
        <w:tab w:val="right" w:pos="9072"/>
      </w:tabs>
    </w:pPr>
  </w:style>
  <w:style w:type="character" w:customStyle="1" w:styleId="HeaderChar">
    <w:name w:val="Header Char"/>
    <w:basedOn w:val="DefaultParagraphFont"/>
    <w:link w:val="Header"/>
    <w:rsid w:val="009C1720"/>
    <w:rPr>
      <w:rFonts w:ascii="Arial" w:eastAsia="Times New Roman" w:hAnsi="Arial" w:cs="Times New Roman"/>
      <w:sz w:val="20"/>
      <w:szCs w:val="20"/>
      <w:lang w:val="en-GB"/>
    </w:rPr>
  </w:style>
  <w:style w:type="paragraph" w:styleId="Footer">
    <w:name w:val="footer"/>
    <w:basedOn w:val="Normal"/>
    <w:link w:val="FooterChar"/>
    <w:uiPriority w:val="99"/>
    <w:unhideWhenUsed/>
    <w:rsid w:val="009C1720"/>
    <w:pPr>
      <w:tabs>
        <w:tab w:val="center" w:pos="4536"/>
        <w:tab w:val="right" w:pos="9072"/>
      </w:tabs>
    </w:pPr>
  </w:style>
  <w:style w:type="character" w:customStyle="1" w:styleId="FooterChar">
    <w:name w:val="Footer Char"/>
    <w:basedOn w:val="DefaultParagraphFont"/>
    <w:link w:val="Footer"/>
    <w:uiPriority w:val="99"/>
    <w:rsid w:val="009C1720"/>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838"/>
    <w:rPr>
      <w:b/>
      <w:bCs/>
    </w:rPr>
  </w:style>
  <w:style w:type="character" w:customStyle="1" w:styleId="CommentSubjectChar">
    <w:name w:val="Comment Subject Char"/>
    <w:basedOn w:val="CommentTextChar"/>
    <w:link w:val="CommentSubject"/>
    <w:uiPriority w:val="99"/>
    <w:semiHidden/>
    <w:rsid w:val="00DA3838"/>
    <w:rPr>
      <w:rFonts w:ascii="Arial" w:eastAsia="Times New Roman" w:hAnsi="Arial" w:cs="Times New Roman"/>
      <w:b/>
      <w:bCs/>
      <w:sz w:val="20"/>
      <w:szCs w:val="20"/>
      <w:lang w:val="en-GB"/>
    </w:rPr>
  </w:style>
  <w:style w:type="character" w:styleId="PageNumber">
    <w:name w:val="page number"/>
    <w:basedOn w:val="DefaultParagraphFont"/>
    <w:uiPriority w:val="99"/>
    <w:semiHidden/>
    <w:unhideWhenUsed/>
    <w:rsid w:val="00486CB5"/>
  </w:style>
  <w:style w:type="paragraph" w:styleId="Revision">
    <w:name w:val="Revision"/>
    <w:hidden/>
    <w:uiPriority w:val="99"/>
    <w:semiHidden/>
    <w:rsid w:val="002C5580"/>
    <w:pPr>
      <w:spacing w:after="0" w:line="240" w:lineRule="auto"/>
    </w:pPr>
    <w:rPr>
      <w:rFonts w:ascii="Arial" w:eastAsia="Times New Roman" w:hAnsi="Arial" w:cs="Times New Roman"/>
      <w:sz w:val="20"/>
      <w:szCs w:val="20"/>
      <w:lang w:val="en-GB"/>
    </w:rPr>
  </w:style>
  <w:style w:type="table" w:styleId="TableGrid">
    <w:name w:val="Table Grid"/>
    <w:basedOn w:val="TableNormal"/>
    <w:uiPriority w:val="59"/>
    <w:rsid w:val="00580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F0AE6"/>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uiPriority w:val="9"/>
    <w:rsid w:val="00B34DD4"/>
    <w:rPr>
      <w:rFonts w:asciiTheme="majorHAnsi" w:eastAsiaTheme="majorEastAsia" w:hAnsiTheme="majorHAnsi" w:cstheme="majorBidi"/>
      <w:b/>
      <w:bCs/>
      <w:color w:val="4F81BD" w:themeColor="accent1"/>
      <w:sz w:val="26"/>
      <w:szCs w:val="26"/>
      <w:lang w:val="en-GB"/>
    </w:rPr>
  </w:style>
  <w:style w:type="paragraph" w:styleId="Title">
    <w:name w:val="Title"/>
    <w:basedOn w:val="Normal"/>
    <w:link w:val="TitleChar"/>
    <w:qFormat/>
    <w:rsid w:val="00BC2A66"/>
    <w:pPr>
      <w:spacing w:before="240"/>
      <w:jc w:val="center"/>
    </w:pPr>
    <w:rPr>
      <w:b/>
      <w:bCs/>
      <w:kern w:val="28"/>
      <w:sz w:val="32"/>
      <w:szCs w:val="32"/>
    </w:rPr>
  </w:style>
  <w:style w:type="character" w:customStyle="1" w:styleId="TitleChar">
    <w:name w:val="Title Char"/>
    <w:basedOn w:val="DefaultParagraphFont"/>
    <w:link w:val="Title"/>
    <w:rsid w:val="00BC2A66"/>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D6C1D"/>
    <w:rPr>
      <w:color w:val="0000FF" w:themeColor="hyperlink"/>
      <w:u w:val="single"/>
    </w:rPr>
  </w:style>
  <w:style w:type="paragraph" w:customStyle="1" w:styleId="Normal1">
    <w:name w:val="Normal1"/>
    <w:basedOn w:val="Normal"/>
    <w:rsid w:val="00B71EA4"/>
    <w:pPr>
      <w:spacing w:before="100" w:beforeAutospacing="1" w:after="100" w:afterAutospacing="1"/>
    </w:pPr>
    <w:rPr>
      <w:rFonts w:ascii="Times New Roman" w:hAnsi="Times New Roman"/>
      <w:sz w:val="24"/>
      <w:szCs w:val="24"/>
      <w:lang w:eastAsia="en-GB"/>
    </w:rPr>
  </w:style>
  <w:style w:type="character" w:customStyle="1" w:styleId="italic">
    <w:name w:val="italic"/>
    <w:basedOn w:val="DefaultParagraphFont"/>
    <w:rsid w:val="00841808"/>
  </w:style>
  <w:style w:type="paragraph" w:styleId="NoSpacing">
    <w:name w:val="No Spacing"/>
    <w:uiPriority w:val="1"/>
    <w:qFormat/>
    <w:rsid w:val="00E72253"/>
    <w:pPr>
      <w:spacing w:after="0" w:line="240" w:lineRule="auto"/>
    </w:pPr>
    <w:rPr>
      <w:rFonts w:ascii="Arial" w:eastAsia="Times New Roman" w:hAnsi="Arial" w:cs="Times New Roman"/>
      <w:sz w:val="20"/>
      <w:szCs w:val="20"/>
      <w:lang w:val="en-GB"/>
    </w:rPr>
  </w:style>
  <w:style w:type="paragraph" w:customStyle="1" w:styleId="sti-art">
    <w:name w:val="sti-art"/>
    <w:basedOn w:val="Normal"/>
    <w:rsid w:val="0028443F"/>
    <w:pPr>
      <w:spacing w:before="100" w:beforeAutospacing="1" w:after="100" w:afterAutospacing="1"/>
    </w:pPr>
    <w:rPr>
      <w:rFonts w:ascii="Times New Roman" w:hAnsi="Times New Roman"/>
      <w:sz w:val="24"/>
      <w:szCs w:val="24"/>
      <w:lang w:eastAsia="en-GB"/>
    </w:rPr>
  </w:style>
  <w:style w:type="character" w:customStyle="1" w:styleId="Bodytext2Exact">
    <w:name w:val="Body text (2) Exact"/>
    <w:basedOn w:val="DefaultParagraphFont"/>
    <w:rsid w:val="002A2E19"/>
    <w:rPr>
      <w:rFonts w:ascii="Times New Roman" w:eastAsia="Times New Roman" w:hAnsi="Times New Roman" w:cs="Times New Roman"/>
      <w:b w:val="0"/>
      <w:bCs w:val="0"/>
      <w:i w:val="0"/>
      <w:iCs w:val="0"/>
      <w:smallCaps w:val="0"/>
      <w:strike w:val="0"/>
      <w:sz w:val="16"/>
      <w:szCs w:val="16"/>
      <w:u w:val="none"/>
    </w:rPr>
  </w:style>
  <w:style w:type="character" w:customStyle="1" w:styleId="Bodytext2">
    <w:name w:val="Body text (2)_"/>
    <w:basedOn w:val="DefaultParagraphFont"/>
    <w:link w:val="Bodytext20"/>
    <w:rsid w:val="002A2E19"/>
    <w:rPr>
      <w:rFonts w:ascii="Times New Roman" w:eastAsia="Times New Roman" w:hAnsi="Times New Roman" w:cs="Times New Roman"/>
      <w:sz w:val="16"/>
      <w:szCs w:val="16"/>
      <w:shd w:val="clear" w:color="auto" w:fill="FFFFFF"/>
    </w:rPr>
  </w:style>
  <w:style w:type="paragraph" w:customStyle="1" w:styleId="Bodytext20">
    <w:name w:val="Body text (2)"/>
    <w:basedOn w:val="Normal"/>
    <w:link w:val="Bodytext2"/>
    <w:rsid w:val="002A2E19"/>
    <w:pPr>
      <w:widowControl w:val="0"/>
      <w:shd w:val="clear" w:color="auto" w:fill="FFFFFF"/>
      <w:spacing w:line="370" w:lineRule="exact"/>
      <w:ind w:hanging="260"/>
      <w:jc w:val="both"/>
    </w:pPr>
    <w:rPr>
      <w:rFonts w:ascii="Times New Roman" w:hAnsi="Times New Roman"/>
      <w:sz w:val="16"/>
      <w:szCs w:val="16"/>
      <w:lang w:val="bg-BG"/>
    </w:rPr>
  </w:style>
  <w:style w:type="character" w:styleId="Strong">
    <w:name w:val="Strong"/>
    <w:basedOn w:val="DefaultParagraphFont"/>
    <w:uiPriority w:val="22"/>
    <w:qFormat/>
    <w:rsid w:val="00572259"/>
    <w:rPr>
      <w:b/>
      <w:bCs/>
    </w:rPr>
  </w:style>
  <w:style w:type="paragraph" w:customStyle="1" w:styleId="Normal2">
    <w:name w:val="Normal2"/>
    <w:basedOn w:val="Normal"/>
    <w:rsid w:val="007915EB"/>
    <w:pPr>
      <w:spacing w:before="100" w:beforeAutospacing="1" w:after="100" w:afterAutospacing="1"/>
    </w:pPr>
    <w:rPr>
      <w:rFonts w:ascii="Times New Roman" w:hAnsi="Times New Roman"/>
      <w:sz w:val="24"/>
      <w:szCs w:val="24"/>
      <w:lang w:val="bg-BG" w:eastAsia="bg-BG"/>
    </w:rPr>
  </w:style>
  <w:style w:type="character" w:customStyle="1" w:styleId="super">
    <w:name w:val="super"/>
    <w:basedOn w:val="DefaultParagraphFont"/>
    <w:rsid w:val="007915EB"/>
  </w:style>
  <w:style w:type="character" w:styleId="FollowedHyperlink">
    <w:name w:val="FollowedHyperlink"/>
    <w:basedOn w:val="DefaultParagraphFont"/>
    <w:uiPriority w:val="99"/>
    <w:semiHidden/>
    <w:unhideWhenUsed/>
    <w:rsid w:val="001834A6"/>
    <w:rPr>
      <w:color w:val="800080" w:themeColor="followedHyperlink"/>
      <w:u w:val="single"/>
    </w:rPr>
  </w:style>
  <w:style w:type="character" w:customStyle="1" w:styleId="samedocreference1">
    <w:name w:val="samedocreference1"/>
    <w:basedOn w:val="DefaultParagraphFont"/>
    <w:rsid w:val="00DC4A99"/>
    <w:rPr>
      <w:i w:val="0"/>
      <w:iCs w:val="0"/>
      <w:color w:val="8B0000"/>
      <w:u w:val="single"/>
    </w:rPr>
  </w:style>
  <w:style w:type="paragraph" w:customStyle="1" w:styleId="GfAheading1">
    <w:name w:val="GfA heading 1"/>
    <w:basedOn w:val="Normal"/>
    <w:rsid w:val="00914E1B"/>
    <w:pPr>
      <w:numPr>
        <w:numId w:val="45"/>
      </w:numPr>
    </w:pPr>
    <w:rPr>
      <w:rFonts w:ascii="Times New Roman" w:eastAsia="Calibri" w:hAnsi="Times New Roman"/>
      <w:b/>
      <w:sz w:val="24"/>
      <w:szCs w:val="24"/>
      <w:lang w:val="bg-BG" w:eastAsia="bg-BG"/>
    </w:rPr>
  </w:style>
  <w:style w:type="paragraph" w:customStyle="1" w:styleId="SUPERSChar">
    <w:name w:val="SUPERS Char"/>
    <w:aliases w:val="EN Footnote Reference Char"/>
    <w:basedOn w:val="Normal"/>
    <w:link w:val="FootnoteReference"/>
    <w:rsid w:val="00914E1B"/>
    <w:pPr>
      <w:spacing w:after="160" w:line="240" w:lineRule="exact"/>
    </w:pPr>
    <w:rPr>
      <w:rFonts w:asciiTheme="minorHAnsi" w:eastAsiaTheme="minorHAnsi" w:hAnsiTheme="minorHAnsi" w:cstheme="minorBidi"/>
      <w:sz w:val="22"/>
      <w:szCs w:val="22"/>
      <w:vertAlign w:val="superscript"/>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621131">
      <w:bodyDiv w:val="1"/>
      <w:marLeft w:val="0"/>
      <w:marRight w:val="0"/>
      <w:marTop w:val="0"/>
      <w:marBottom w:val="0"/>
      <w:divBdr>
        <w:top w:val="none" w:sz="0" w:space="0" w:color="auto"/>
        <w:left w:val="none" w:sz="0" w:space="0" w:color="auto"/>
        <w:bottom w:val="none" w:sz="0" w:space="0" w:color="auto"/>
        <w:right w:val="none" w:sz="0" w:space="0" w:color="auto"/>
      </w:divBdr>
    </w:div>
    <w:div w:id="769818228">
      <w:bodyDiv w:val="1"/>
      <w:marLeft w:val="0"/>
      <w:marRight w:val="0"/>
      <w:marTop w:val="0"/>
      <w:marBottom w:val="0"/>
      <w:divBdr>
        <w:top w:val="none" w:sz="0" w:space="0" w:color="auto"/>
        <w:left w:val="none" w:sz="0" w:space="0" w:color="auto"/>
        <w:bottom w:val="none" w:sz="0" w:space="0" w:color="auto"/>
        <w:right w:val="none" w:sz="0" w:space="0" w:color="auto"/>
      </w:divBdr>
    </w:div>
    <w:div w:id="845703945">
      <w:bodyDiv w:val="1"/>
      <w:marLeft w:val="390"/>
      <w:marRight w:val="390"/>
      <w:marTop w:val="0"/>
      <w:marBottom w:val="0"/>
      <w:divBdr>
        <w:top w:val="none" w:sz="0" w:space="0" w:color="auto"/>
        <w:left w:val="none" w:sz="0" w:space="0" w:color="auto"/>
        <w:bottom w:val="none" w:sz="0" w:space="0" w:color="auto"/>
        <w:right w:val="none" w:sz="0" w:space="0" w:color="auto"/>
      </w:divBdr>
      <w:divsChild>
        <w:div w:id="341664096">
          <w:marLeft w:val="0"/>
          <w:marRight w:val="0"/>
          <w:marTop w:val="0"/>
          <w:marBottom w:val="120"/>
          <w:divBdr>
            <w:top w:val="none" w:sz="0" w:space="0" w:color="auto"/>
            <w:left w:val="none" w:sz="0" w:space="0" w:color="auto"/>
            <w:bottom w:val="none" w:sz="0" w:space="0" w:color="auto"/>
            <w:right w:val="none" w:sz="0" w:space="0" w:color="auto"/>
          </w:divBdr>
          <w:divsChild>
            <w:div w:id="1794597221">
              <w:marLeft w:val="0"/>
              <w:marRight w:val="0"/>
              <w:marTop w:val="0"/>
              <w:marBottom w:val="0"/>
              <w:divBdr>
                <w:top w:val="none" w:sz="0" w:space="0" w:color="auto"/>
                <w:left w:val="none" w:sz="0" w:space="0" w:color="auto"/>
                <w:bottom w:val="none" w:sz="0" w:space="0" w:color="auto"/>
                <w:right w:val="none" w:sz="0" w:space="0" w:color="auto"/>
              </w:divBdr>
            </w:div>
            <w:div w:id="66274070">
              <w:marLeft w:val="0"/>
              <w:marRight w:val="0"/>
              <w:marTop w:val="0"/>
              <w:marBottom w:val="0"/>
              <w:divBdr>
                <w:top w:val="none" w:sz="0" w:space="0" w:color="auto"/>
                <w:left w:val="none" w:sz="0" w:space="0" w:color="auto"/>
                <w:bottom w:val="none" w:sz="0" w:space="0" w:color="auto"/>
                <w:right w:val="none" w:sz="0" w:space="0" w:color="auto"/>
              </w:divBdr>
            </w:div>
            <w:div w:id="846670567">
              <w:marLeft w:val="0"/>
              <w:marRight w:val="0"/>
              <w:marTop w:val="0"/>
              <w:marBottom w:val="0"/>
              <w:divBdr>
                <w:top w:val="none" w:sz="0" w:space="0" w:color="auto"/>
                <w:left w:val="none" w:sz="0" w:space="0" w:color="auto"/>
                <w:bottom w:val="none" w:sz="0" w:space="0" w:color="auto"/>
                <w:right w:val="none" w:sz="0" w:space="0" w:color="auto"/>
              </w:divBdr>
            </w:div>
            <w:div w:id="1718888937">
              <w:marLeft w:val="0"/>
              <w:marRight w:val="0"/>
              <w:marTop w:val="0"/>
              <w:marBottom w:val="0"/>
              <w:divBdr>
                <w:top w:val="none" w:sz="0" w:space="0" w:color="auto"/>
                <w:left w:val="none" w:sz="0" w:space="0" w:color="auto"/>
                <w:bottom w:val="none" w:sz="0" w:space="0" w:color="auto"/>
                <w:right w:val="none" w:sz="0" w:space="0" w:color="auto"/>
              </w:divBdr>
            </w:div>
            <w:div w:id="1570071142">
              <w:marLeft w:val="0"/>
              <w:marRight w:val="0"/>
              <w:marTop w:val="0"/>
              <w:marBottom w:val="0"/>
              <w:divBdr>
                <w:top w:val="none" w:sz="0" w:space="0" w:color="auto"/>
                <w:left w:val="none" w:sz="0" w:space="0" w:color="auto"/>
                <w:bottom w:val="none" w:sz="0" w:space="0" w:color="auto"/>
                <w:right w:val="none" w:sz="0" w:space="0" w:color="auto"/>
              </w:divBdr>
            </w:div>
            <w:div w:id="5166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74770">
      <w:bodyDiv w:val="1"/>
      <w:marLeft w:val="0"/>
      <w:marRight w:val="0"/>
      <w:marTop w:val="0"/>
      <w:marBottom w:val="0"/>
      <w:divBdr>
        <w:top w:val="none" w:sz="0" w:space="0" w:color="auto"/>
        <w:left w:val="none" w:sz="0" w:space="0" w:color="auto"/>
        <w:bottom w:val="none" w:sz="0" w:space="0" w:color="auto"/>
        <w:right w:val="none" w:sz="0" w:space="0" w:color="auto"/>
      </w:divBdr>
    </w:div>
    <w:div w:id="203241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C97FF3-D4BA-442F-9745-BD1496123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2986</Words>
  <Characters>17024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Vesselina Georgieva</dc:creator>
  <cp:lastModifiedBy>TATYANA NIKOLOVA ANGELCHEVA</cp:lastModifiedBy>
  <cp:revision>13</cp:revision>
  <cp:lastPrinted>2022-07-06T08:03:00Z</cp:lastPrinted>
  <dcterms:created xsi:type="dcterms:W3CDTF">2024-08-22T12:56:00Z</dcterms:created>
  <dcterms:modified xsi:type="dcterms:W3CDTF">2024-11-07T12:57:00Z</dcterms:modified>
</cp:coreProperties>
</file>